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09" w:rsidRPr="00A3473C" w:rsidRDefault="009D3709" w:rsidP="00A3473C">
      <w:pPr>
        <w:jc w:val="center"/>
        <w:rPr>
          <w:rFonts w:ascii="黑体" w:eastAsia="黑体" w:hAnsi="黑体"/>
          <w:sz w:val="40"/>
        </w:rPr>
      </w:pPr>
      <w:r w:rsidRPr="00A3473C">
        <w:rPr>
          <w:rFonts w:ascii="黑体" w:eastAsia="黑体" w:hAnsi="黑体" w:hint="eastAsia"/>
          <w:sz w:val="40"/>
        </w:rPr>
        <w:t>办税指南</w:t>
      </w:r>
      <w:r w:rsidRPr="00A3473C">
        <w:rPr>
          <w:rFonts w:ascii="黑体" w:eastAsia="黑体" w:hAnsi="黑体"/>
          <w:sz w:val="40"/>
        </w:rPr>
        <w:t>-增值税期末留抵税额退税流程</w:t>
      </w:r>
    </w:p>
    <w:p w:rsidR="00A3473C" w:rsidRDefault="00A3473C" w:rsidP="009627A3">
      <w:pPr>
        <w:widowControl/>
        <w:spacing w:after="150" w:line="450" w:lineRule="atLeast"/>
        <w:jc w:val="left"/>
        <w:rPr>
          <w:rStyle w:val="a7"/>
          <w:rFonts w:ascii="仿宋_GB2312" w:hAnsi="Helvetica" w:cs="Arial"/>
          <w:color w:val="333333"/>
          <w:szCs w:val="32"/>
        </w:rPr>
      </w:pPr>
      <w:bookmarkStart w:id="0" w:name="_GoBack"/>
      <w:bookmarkEnd w:id="0"/>
    </w:p>
    <w:p w:rsidR="009627A3" w:rsidRPr="00273E48" w:rsidRDefault="009627A3" w:rsidP="009627A3">
      <w:pPr>
        <w:widowControl/>
        <w:spacing w:after="150" w:line="450" w:lineRule="atLeast"/>
        <w:jc w:val="left"/>
        <w:rPr>
          <w:rFonts w:ascii="仿宋_GB2312" w:hAnsi="Helvetica" w:cs="Arial"/>
          <w:color w:val="333333"/>
          <w:kern w:val="0"/>
          <w:szCs w:val="32"/>
        </w:rPr>
      </w:pPr>
      <w:r w:rsidRPr="00273E48">
        <w:rPr>
          <w:rStyle w:val="a7"/>
          <w:rFonts w:ascii="仿宋_GB2312" w:hAnsi="Helvetica" w:cs="Arial" w:hint="eastAsia"/>
          <w:color w:val="333333"/>
          <w:szCs w:val="32"/>
        </w:rPr>
        <w:t xml:space="preserve">【事项描述】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符合条件的增值税一般纳税人，可以向主管税务机关申请退还增值税期末留抵税额，主要包括：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1．符合条件的集成电路重大项目因购进设备形成的增值税期末留抵税额予以退还。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2．对外购用于生产乙烯、芳烃类化工产品的石脑油、燃料油价格中消费税部分对应的增值税额予以退还。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3．纳税人从事大型客机、大型客机发动机研制项目而形成的增值税期末留抵税额予以退还。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4．纳税人因生产销售新支线飞机而形成的增值税期末留抵税额予以退还。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5．其他符合条件（具体条件详见【纳税人注意事项】第6项）的纳税人增值税期末留抵退税。 </w:t>
      </w:r>
    </w:p>
    <w:p w:rsidR="009627A3" w:rsidRDefault="009627A3" w:rsidP="009627A3">
      <w:pPr>
        <w:spacing w:after="150" w:line="450" w:lineRule="atLeast"/>
        <w:rPr>
          <w:rStyle w:val="a7"/>
          <w:rFonts w:ascii="仿宋_GB2312" w:hAnsi="Helvetica" w:cs="Arial"/>
          <w:color w:val="333333"/>
          <w:szCs w:val="32"/>
        </w:rPr>
      </w:pPr>
    </w:p>
    <w:p w:rsidR="009627A3" w:rsidRDefault="009627A3" w:rsidP="009627A3">
      <w:pPr>
        <w:rPr>
          <w:rStyle w:val="a7"/>
          <w:rFonts w:ascii="仿宋_GB2312" w:hAnsi="Helvetica" w:cs="Arial"/>
          <w:color w:val="333333"/>
          <w:szCs w:val="32"/>
        </w:rPr>
      </w:pPr>
      <w:r>
        <w:rPr>
          <w:rStyle w:val="a7"/>
          <w:rFonts w:ascii="仿宋_GB2312" w:hAnsi="Helvetica" w:cs="Arial"/>
          <w:color w:val="333333"/>
          <w:szCs w:val="32"/>
        </w:rPr>
        <w:br w:type="page"/>
      </w:r>
    </w:p>
    <w:p w:rsidR="009627A3" w:rsidRPr="00273E48" w:rsidRDefault="009627A3" w:rsidP="009627A3">
      <w:pPr>
        <w:spacing w:after="150" w:line="450" w:lineRule="atLeast"/>
        <w:rPr>
          <w:rFonts w:ascii="仿宋_GB2312" w:hAnsi="Helvetica" w:cs="Arial"/>
          <w:color w:val="333333"/>
          <w:szCs w:val="32"/>
        </w:rPr>
      </w:pPr>
      <w:r w:rsidRPr="00273E48">
        <w:rPr>
          <w:rStyle w:val="a7"/>
          <w:rFonts w:ascii="仿宋_GB2312" w:hAnsi="Helvetica" w:cs="Arial" w:hint="eastAsia"/>
          <w:color w:val="333333"/>
          <w:szCs w:val="32"/>
        </w:rPr>
        <w:lastRenderedPageBreak/>
        <w:t xml:space="preserve">【报送资料】 </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3"/>
        <w:gridCol w:w="1334"/>
        <w:gridCol w:w="2557"/>
        <w:gridCol w:w="919"/>
        <w:gridCol w:w="2553"/>
      </w:tblGrid>
      <w:tr w:rsidR="009627A3" w:rsidTr="00662C5F">
        <w:trPr>
          <w:trHeight w:val="729"/>
          <w:jc w:val="center"/>
        </w:trPr>
        <w:tc>
          <w:tcPr>
            <w:tcW w:w="983" w:type="dxa"/>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s="宋体"/>
                <w:color w:val="333333"/>
                <w:sz w:val="23"/>
                <w:szCs w:val="23"/>
              </w:rPr>
            </w:pPr>
            <w:r>
              <w:rPr>
                <w:rFonts w:ascii="Helvetica" w:hAnsi="Helvetica"/>
                <w:color w:val="333333"/>
              </w:rPr>
              <w:t>序号</w:t>
            </w:r>
          </w:p>
        </w:tc>
        <w:tc>
          <w:tcPr>
            <w:tcW w:w="4251" w:type="dxa"/>
            <w:gridSpan w:val="2"/>
            <w:tcBorders>
              <w:top w:val="single" w:sz="8" w:space="0" w:color="auto"/>
              <w:left w:val="nil"/>
              <w:bottom w:val="single" w:sz="8" w:space="0" w:color="auto"/>
              <w:right w:val="single" w:sz="8" w:space="0" w:color="auto"/>
            </w:tcBorders>
            <w:shd w:val="clear" w:color="auto" w:fill="D9D9D9"/>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材料名称</w:t>
            </w:r>
          </w:p>
        </w:tc>
        <w:tc>
          <w:tcPr>
            <w:tcW w:w="992" w:type="dxa"/>
            <w:tcBorders>
              <w:top w:val="single" w:sz="8" w:space="0" w:color="auto"/>
              <w:left w:val="nil"/>
              <w:bottom w:val="single" w:sz="8" w:space="0" w:color="auto"/>
              <w:right w:val="single" w:sz="8" w:space="0" w:color="auto"/>
            </w:tcBorders>
            <w:shd w:val="clear" w:color="auto" w:fill="D9D9D9"/>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数量</w:t>
            </w:r>
          </w:p>
        </w:tc>
        <w:tc>
          <w:tcPr>
            <w:tcW w:w="2834" w:type="dxa"/>
            <w:tcBorders>
              <w:top w:val="single" w:sz="8" w:space="0" w:color="auto"/>
              <w:left w:val="nil"/>
              <w:bottom w:val="single" w:sz="8" w:space="0" w:color="auto"/>
              <w:right w:val="single" w:sz="8" w:space="0" w:color="auto"/>
            </w:tcBorders>
            <w:shd w:val="clear" w:color="auto" w:fill="D9D9D9"/>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备注</w:t>
            </w:r>
          </w:p>
        </w:tc>
      </w:tr>
      <w:tr w:rsidR="009627A3" w:rsidTr="00662C5F">
        <w:trPr>
          <w:trHeight w:val="683"/>
          <w:jc w:val="center"/>
        </w:trPr>
        <w:tc>
          <w:tcPr>
            <w:tcW w:w="983"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w:t>
            </w:r>
          </w:p>
        </w:tc>
        <w:tc>
          <w:tcPr>
            <w:tcW w:w="4251"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left"/>
              <w:rPr>
                <w:rFonts w:ascii="Helvetica" w:hAnsi="Helvetica"/>
                <w:color w:val="333333"/>
                <w:sz w:val="23"/>
                <w:szCs w:val="23"/>
              </w:rPr>
            </w:pPr>
            <w:r>
              <w:rPr>
                <w:rFonts w:ascii="Helvetica" w:hAnsi="Helvetica"/>
                <w:color w:val="333333"/>
              </w:rPr>
              <w:t>《退（抵）税申请审批表》</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4</w:t>
            </w:r>
            <w:r>
              <w:rPr>
                <w:rFonts w:ascii="Helvetica" w:hAnsi="Helvetica"/>
                <w:color w:val="333333"/>
              </w:rPr>
              <w:t>份</w:t>
            </w:r>
          </w:p>
        </w:tc>
        <w:tc>
          <w:tcPr>
            <w:tcW w:w="28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left"/>
              <w:rPr>
                <w:rFonts w:ascii="Helvetica" w:hAnsi="Helvetica"/>
                <w:color w:val="333333"/>
                <w:sz w:val="23"/>
                <w:szCs w:val="23"/>
              </w:rPr>
            </w:pPr>
            <w:r>
              <w:rPr>
                <w:rFonts w:ascii="Helvetica" w:hAnsi="Helvetica"/>
                <w:color w:val="333333"/>
                <w:sz w:val="23"/>
                <w:szCs w:val="23"/>
              </w:rPr>
              <w:t> </w:t>
            </w:r>
          </w:p>
        </w:tc>
      </w:tr>
      <w:tr w:rsidR="009627A3" w:rsidTr="00662C5F">
        <w:trPr>
          <w:trHeight w:val="807"/>
          <w:jc w:val="center"/>
        </w:trPr>
        <w:tc>
          <w:tcPr>
            <w:tcW w:w="9060" w:type="dxa"/>
            <w:gridSpan w:val="5"/>
            <w:tcBorders>
              <w:top w:val="nil"/>
              <w:left w:val="single" w:sz="8" w:space="0" w:color="auto"/>
              <w:bottom w:val="single" w:sz="8" w:space="0" w:color="auto"/>
              <w:right w:val="single" w:sz="8" w:space="0" w:color="auto"/>
            </w:tcBorders>
            <w:shd w:val="clear" w:color="auto" w:fill="D9D9D9"/>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以下为条件报送资料</w:t>
            </w:r>
          </w:p>
        </w:tc>
      </w:tr>
      <w:tr w:rsidR="009627A3" w:rsidTr="00662C5F">
        <w:trPr>
          <w:trHeight w:val="1468"/>
          <w:jc w:val="center"/>
        </w:trPr>
        <w:tc>
          <w:tcPr>
            <w:tcW w:w="2460" w:type="dxa"/>
            <w:gridSpan w:val="2"/>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left"/>
              <w:rPr>
                <w:rFonts w:ascii="Helvetica" w:hAnsi="Helvetica"/>
                <w:color w:val="333333"/>
                <w:sz w:val="23"/>
                <w:szCs w:val="23"/>
              </w:rPr>
            </w:pPr>
            <w:r>
              <w:rPr>
                <w:rFonts w:ascii="Helvetica" w:hAnsi="Helvetica"/>
                <w:color w:val="333333"/>
              </w:rPr>
              <w:t>符合条件的集成电路重大项目增值税留抵税额退税还应报送</w:t>
            </w:r>
          </w:p>
        </w:tc>
        <w:tc>
          <w:tcPr>
            <w:tcW w:w="277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rPr>
                <w:rFonts w:ascii="Helvetica" w:hAnsi="Helvetica"/>
                <w:color w:val="333333"/>
                <w:sz w:val="23"/>
                <w:szCs w:val="23"/>
              </w:rPr>
            </w:pPr>
            <w:r>
              <w:rPr>
                <w:rFonts w:ascii="Helvetica" w:hAnsi="Helvetica"/>
                <w:color w:val="333333"/>
              </w:rPr>
              <w:t>增值税专用发票原件及复印件</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w:t>
            </w:r>
            <w:r>
              <w:rPr>
                <w:rFonts w:ascii="Helvetica" w:hAnsi="Helvetica"/>
                <w:color w:val="333333"/>
              </w:rPr>
              <w:t>份</w:t>
            </w:r>
          </w:p>
        </w:tc>
        <w:tc>
          <w:tcPr>
            <w:tcW w:w="28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left"/>
              <w:rPr>
                <w:rFonts w:ascii="Helvetica" w:hAnsi="Helvetica"/>
                <w:color w:val="333333"/>
                <w:sz w:val="23"/>
                <w:szCs w:val="23"/>
              </w:rPr>
            </w:pPr>
            <w:r>
              <w:rPr>
                <w:rFonts w:ascii="Helvetica" w:hAnsi="Helvetica"/>
                <w:color w:val="333333"/>
                <w:sz w:val="23"/>
                <w:szCs w:val="23"/>
              </w:rPr>
              <w:t> </w:t>
            </w:r>
          </w:p>
        </w:tc>
      </w:tr>
      <w:tr w:rsidR="009627A3" w:rsidTr="00662C5F">
        <w:trPr>
          <w:trHeight w:val="391"/>
          <w:jc w:val="center"/>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9627A3" w:rsidRDefault="009627A3" w:rsidP="00662C5F">
            <w:pPr>
              <w:rPr>
                <w:rFonts w:ascii="Helvetica" w:eastAsia="宋体" w:hAnsi="Helvetica" w:cs="宋体"/>
                <w:color w:val="333333"/>
                <w:sz w:val="23"/>
                <w:szCs w:val="23"/>
              </w:rPr>
            </w:pPr>
          </w:p>
        </w:tc>
        <w:tc>
          <w:tcPr>
            <w:tcW w:w="277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rPr>
                <w:rFonts w:ascii="Helvetica" w:hAnsi="Helvetica"/>
                <w:color w:val="333333"/>
                <w:sz w:val="23"/>
                <w:szCs w:val="23"/>
              </w:rPr>
            </w:pPr>
            <w:r>
              <w:rPr>
                <w:rFonts w:ascii="Helvetica" w:hAnsi="Helvetica"/>
                <w:color w:val="333333"/>
              </w:rPr>
              <w:t>海关进口增值税专用缴款书原件及复印件</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w:t>
            </w:r>
            <w:r>
              <w:rPr>
                <w:rFonts w:ascii="Helvetica" w:hAnsi="Helvetica"/>
                <w:color w:val="333333"/>
              </w:rPr>
              <w:t>份</w:t>
            </w:r>
          </w:p>
        </w:tc>
        <w:tc>
          <w:tcPr>
            <w:tcW w:w="28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left"/>
              <w:rPr>
                <w:rFonts w:ascii="Helvetica" w:hAnsi="Helvetica"/>
                <w:color w:val="333333"/>
                <w:sz w:val="23"/>
                <w:szCs w:val="23"/>
              </w:rPr>
            </w:pPr>
            <w:r>
              <w:rPr>
                <w:rFonts w:ascii="Helvetica" w:hAnsi="Helvetica"/>
                <w:color w:val="333333"/>
                <w:sz w:val="23"/>
                <w:szCs w:val="23"/>
              </w:rPr>
              <w:t> </w:t>
            </w:r>
          </w:p>
        </w:tc>
      </w:tr>
      <w:tr w:rsidR="009627A3" w:rsidTr="00662C5F">
        <w:trPr>
          <w:trHeight w:val="703"/>
          <w:jc w:val="center"/>
        </w:trPr>
        <w:tc>
          <w:tcPr>
            <w:tcW w:w="2460" w:type="dxa"/>
            <w:gridSpan w:val="2"/>
            <w:vMerge w:val="restar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rPr>
                <w:rFonts w:ascii="Helvetica" w:hAnsi="Helvetica"/>
                <w:color w:val="333333"/>
                <w:sz w:val="23"/>
                <w:szCs w:val="23"/>
              </w:rPr>
            </w:pPr>
            <w:r>
              <w:rPr>
                <w:rFonts w:ascii="Helvetica" w:hAnsi="Helvetica"/>
                <w:color w:val="333333"/>
              </w:rPr>
              <w:t>对外购用于生产乙烯、芳烃类化工产品的石脑油、燃料油价格中消费税部分对应的增值税额退税还应报送</w:t>
            </w:r>
          </w:p>
        </w:tc>
        <w:tc>
          <w:tcPr>
            <w:tcW w:w="277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rPr>
                <w:rFonts w:ascii="Helvetica" w:hAnsi="Helvetica"/>
                <w:color w:val="333333"/>
                <w:sz w:val="23"/>
                <w:szCs w:val="23"/>
              </w:rPr>
            </w:pPr>
            <w:r>
              <w:rPr>
                <w:rFonts w:ascii="Helvetica" w:hAnsi="Helvetica"/>
                <w:color w:val="333333"/>
              </w:rPr>
              <w:t>生产乙烯、芳烃类化工产品企业购进合同复印件</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w:t>
            </w:r>
            <w:r>
              <w:rPr>
                <w:rFonts w:ascii="Helvetica" w:hAnsi="Helvetica"/>
                <w:color w:val="333333"/>
              </w:rPr>
              <w:t>份</w:t>
            </w:r>
          </w:p>
        </w:tc>
        <w:tc>
          <w:tcPr>
            <w:tcW w:w="28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left"/>
              <w:rPr>
                <w:rFonts w:ascii="Helvetica" w:hAnsi="Helvetica"/>
                <w:color w:val="333333"/>
                <w:sz w:val="23"/>
                <w:szCs w:val="23"/>
              </w:rPr>
            </w:pPr>
            <w:r>
              <w:rPr>
                <w:rFonts w:ascii="Helvetica" w:hAnsi="Helvetica"/>
                <w:color w:val="333333"/>
                <w:sz w:val="23"/>
                <w:szCs w:val="23"/>
              </w:rPr>
              <w:t> </w:t>
            </w:r>
          </w:p>
        </w:tc>
      </w:tr>
      <w:tr w:rsidR="009627A3" w:rsidTr="00662C5F">
        <w:trPr>
          <w:trHeight w:val="703"/>
          <w:jc w:val="center"/>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9627A3" w:rsidRDefault="009627A3" w:rsidP="00662C5F">
            <w:pPr>
              <w:rPr>
                <w:rFonts w:ascii="Helvetica" w:eastAsia="宋体" w:hAnsi="Helvetica" w:cs="宋体"/>
                <w:color w:val="333333"/>
                <w:sz w:val="23"/>
                <w:szCs w:val="23"/>
              </w:rPr>
            </w:pPr>
          </w:p>
        </w:tc>
        <w:tc>
          <w:tcPr>
            <w:tcW w:w="277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rPr>
                <w:rFonts w:ascii="Helvetica" w:hAnsi="Helvetica"/>
                <w:color w:val="333333"/>
                <w:sz w:val="23"/>
                <w:szCs w:val="23"/>
              </w:rPr>
            </w:pPr>
            <w:r>
              <w:rPr>
                <w:rFonts w:ascii="Helvetica" w:hAnsi="Helvetica"/>
                <w:color w:val="333333"/>
              </w:rPr>
              <w:t>生产乙烯、芳烃类化工产品企业进口协议复印件</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w:t>
            </w:r>
            <w:r>
              <w:rPr>
                <w:rFonts w:ascii="Helvetica" w:hAnsi="Helvetica"/>
                <w:color w:val="333333"/>
              </w:rPr>
              <w:t>份</w:t>
            </w:r>
          </w:p>
        </w:tc>
        <w:tc>
          <w:tcPr>
            <w:tcW w:w="28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left"/>
              <w:rPr>
                <w:rFonts w:ascii="Helvetica" w:hAnsi="Helvetica"/>
                <w:color w:val="333333"/>
                <w:sz w:val="23"/>
                <w:szCs w:val="23"/>
              </w:rPr>
            </w:pPr>
            <w:r>
              <w:rPr>
                <w:rFonts w:ascii="Helvetica" w:hAnsi="Helvetica"/>
                <w:color w:val="333333"/>
                <w:sz w:val="23"/>
                <w:szCs w:val="23"/>
              </w:rPr>
              <w:t> </w:t>
            </w:r>
          </w:p>
        </w:tc>
      </w:tr>
      <w:tr w:rsidR="009627A3" w:rsidTr="00662C5F">
        <w:trPr>
          <w:trHeight w:val="935"/>
          <w:jc w:val="center"/>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9627A3" w:rsidRDefault="009627A3" w:rsidP="00662C5F">
            <w:pPr>
              <w:rPr>
                <w:rFonts w:ascii="Helvetica" w:eastAsia="宋体" w:hAnsi="Helvetica" w:cs="宋体"/>
                <w:color w:val="333333"/>
                <w:sz w:val="23"/>
                <w:szCs w:val="23"/>
              </w:rPr>
            </w:pPr>
          </w:p>
        </w:tc>
        <w:tc>
          <w:tcPr>
            <w:tcW w:w="277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rPr>
                <w:rFonts w:ascii="Helvetica" w:hAnsi="Helvetica"/>
                <w:color w:val="333333"/>
                <w:sz w:val="23"/>
                <w:szCs w:val="23"/>
              </w:rPr>
            </w:pPr>
            <w:r>
              <w:rPr>
                <w:rFonts w:ascii="Helvetica" w:hAnsi="Helvetica"/>
                <w:color w:val="333333"/>
              </w:rPr>
              <w:t>增值税专用发票原件及复印件</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w:t>
            </w:r>
            <w:r>
              <w:rPr>
                <w:rFonts w:ascii="Helvetica" w:hAnsi="Helvetica"/>
                <w:color w:val="333333"/>
              </w:rPr>
              <w:t>份</w:t>
            </w:r>
          </w:p>
        </w:tc>
        <w:tc>
          <w:tcPr>
            <w:tcW w:w="28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left"/>
              <w:rPr>
                <w:rFonts w:ascii="Helvetica" w:hAnsi="Helvetica"/>
                <w:color w:val="333333"/>
                <w:sz w:val="23"/>
                <w:szCs w:val="23"/>
              </w:rPr>
            </w:pPr>
            <w:r>
              <w:rPr>
                <w:rFonts w:ascii="Helvetica" w:hAnsi="Helvetica"/>
                <w:color w:val="333333"/>
                <w:sz w:val="23"/>
                <w:szCs w:val="23"/>
              </w:rPr>
              <w:t> </w:t>
            </w:r>
          </w:p>
        </w:tc>
      </w:tr>
      <w:tr w:rsidR="009627A3" w:rsidTr="00662C5F">
        <w:trPr>
          <w:trHeight w:val="1062"/>
          <w:jc w:val="center"/>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9627A3" w:rsidRDefault="009627A3" w:rsidP="00662C5F">
            <w:pPr>
              <w:rPr>
                <w:rFonts w:ascii="Helvetica" w:eastAsia="宋体" w:hAnsi="Helvetica" w:cs="宋体"/>
                <w:color w:val="333333"/>
                <w:sz w:val="23"/>
                <w:szCs w:val="23"/>
              </w:rPr>
            </w:pPr>
          </w:p>
        </w:tc>
        <w:tc>
          <w:tcPr>
            <w:tcW w:w="277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rPr>
                <w:rFonts w:ascii="Helvetica" w:hAnsi="Helvetica"/>
                <w:color w:val="333333"/>
                <w:sz w:val="23"/>
                <w:szCs w:val="23"/>
              </w:rPr>
            </w:pPr>
            <w:r>
              <w:rPr>
                <w:rFonts w:ascii="Helvetica" w:hAnsi="Helvetica"/>
                <w:color w:val="333333"/>
              </w:rPr>
              <w:t>生产乙烯、芳烃类化工产品企业生</w:t>
            </w:r>
            <w:r>
              <w:rPr>
                <w:rFonts w:ascii="Helvetica" w:hAnsi="Helvetica"/>
                <w:color w:val="333333"/>
              </w:rPr>
              <w:lastRenderedPageBreak/>
              <w:t>产乙烯、芳烃类化工产品企业进口货物报关单复印件</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lastRenderedPageBreak/>
              <w:t>1</w:t>
            </w:r>
            <w:r>
              <w:rPr>
                <w:rFonts w:ascii="Helvetica" w:hAnsi="Helvetica"/>
                <w:color w:val="333333"/>
              </w:rPr>
              <w:t>份</w:t>
            </w:r>
          </w:p>
        </w:tc>
        <w:tc>
          <w:tcPr>
            <w:tcW w:w="28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left"/>
              <w:rPr>
                <w:rFonts w:ascii="Helvetica" w:hAnsi="Helvetica"/>
                <w:color w:val="333333"/>
                <w:sz w:val="23"/>
                <w:szCs w:val="23"/>
              </w:rPr>
            </w:pPr>
            <w:r>
              <w:rPr>
                <w:rFonts w:ascii="Helvetica" w:hAnsi="Helvetica"/>
                <w:color w:val="333333"/>
                <w:sz w:val="23"/>
                <w:szCs w:val="23"/>
              </w:rPr>
              <w:t> </w:t>
            </w:r>
          </w:p>
        </w:tc>
      </w:tr>
      <w:tr w:rsidR="009627A3" w:rsidTr="00662C5F">
        <w:trPr>
          <w:trHeight w:val="935"/>
          <w:jc w:val="center"/>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9627A3" w:rsidRDefault="009627A3" w:rsidP="00662C5F">
            <w:pPr>
              <w:rPr>
                <w:rFonts w:ascii="Helvetica" w:eastAsia="宋体" w:hAnsi="Helvetica" w:cs="宋体"/>
                <w:color w:val="333333"/>
                <w:sz w:val="23"/>
                <w:szCs w:val="23"/>
              </w:rPr>
            </w:pPr>
          </w:p>
        </w:tc>
        <w:tc>
          <w:tcPr>
            <w:tcW w:w="277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rPr>
                <w:rFonts w:ascii="Helvetica" w:hAnsi="Helvetica"/>
                <w:color w:val="333333"/>
                <w:sz w:val="23"/>
                <w:szCs w:val="23"/>
              </w:rPr>
            </w:pPr>
            <w:r>
              <w:rPr>
                <w:rFonts w:ascii="Helvetica" w:hAnsi="Helvetica"/>
                <w:color w:val="333333"/>
              </w:rPr>
              <w:t>海关进口增值税专用缴款书原件及复印件</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w:t>
            </w:r>
            <w:r>
              <w:rPr>
                <w:rFonts w:ascii="Helvetica" w:hAnsi="Helvetica"/>
                <w:color w:val="333333"/>
              </w:rPr>
              <w:t>份</w:t>
            </w:r>
          </w:p>
        </w:tc>
        <w:tc>
          <w:tcPr>
            <w:tcW w:w="28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left"/>
              <w:rPr>
                <w:rFonts w:ascii="Helvetica" w:hAnsi="Helvetica"/>
                <w:color w:val="333333"/>
                <w:sz w:val="23"/>
                <w:szCs w:val="23"/>
              </w:rPr>
            </w:pPr>
            <w:r>
              <w:rPr>
                <w:rFonts w:ascii="Helvetica" w:hAnsi="Helvetica"/>
                <w:color w:val="333333"/>
                <w:sz w:val="23"/>
                <w:szCs w:val="23"/>
              </w:rPr>
              <w:t> </w:t>
            </w:r>
          </w:p>
        </w:tc>
      </w:tr>
      <w:tr w:rsidR="009627A3" w:rsidTr="00662C5F">
        <w:trPr>
          <w:trHeight w:val="472"/>
          <w:jc w:val="center"/>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9627A3" w:rsidRDefault="009627A3" w:rsidP="00662C5F">
            <w:pPr>
              <w:rPr>
                <w:rFonts w:ascii="Helvetica" w:eastAsia="宋体" w:hAnsi="Helvetica" w:cs="宋体"/>
                <w:color w:val="333333"/>
                <w:sz w:val="23"/>
                <w:szCs w:val="23"/>
              </w:rPr>
            </w:pPr>
          </w:p>
        </w:tc>
        <w:tc>
          <w:tcPr>
            <w:tcW w:w="277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rPr>
                <w:rFonts w:ascii="Helvetica" w:hAnsi="Helvetica"/>
                <w:color w:val="333333"/>
                <w:sz w:val="23"/>
                <w:szCs w:val="23"/>
              </w:rPr>
            </w:pPr>
            <w:r>
              <w:rPr>
                <w:rFonts w:ascii="Helvetica" w:hAnsi="Helvetica"/>
                <w:color w:val="333333"/>
              </w:rPr>
              <w:t>外购的</w:t>
            </w:r>
            <w:r>
              <w:rPr>
                <w:rFonts w:ascii="Helvetica" w:hAnsi="Helvetica"/>
                <w:color w:val="333333"/>
              </w:rPr>
              <w:t>2</w:t>
            </w:r>
            <w:r>
              <w:rPr>
                <w:rFonts w:ascii="Helvetica" w:hAnsi="Helvetica"/>
                <w:color w:val="333333"/>
              </w:rPr>
              <w:t>类油品已缴纳消费税的证明材料</w:t>
            </w:r>
          </w:p>
        </w:tc>
        <w:tc>
          <w:tcPr>
            <w:tcW w:w="99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w:t>
            </w:r>
            <w:r>
              <w:rPr>
                <w:rFonts w:ascii="Helvetica" w:hAnsi="Helvetica"/>
                <w:color w:val="333333"/>
              </w:rPr>
              <w:t>份</w:t>
            </w:r>
          </w:p>
        </w:tc>
        <w:tc>
          <w:tcPr>
            <w:tcW w:w="28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9627A3" w:rsidRDefault="009627A3" w:rsidP="00662C5F">
            <w:pPr>
              <w:spacing w:after="150" w:line="346" w:lineRule="atLeast"/>
              <w:jc w:val="left"/>
              <w:rPr>
                <w:rFonts w:ascii="Helvetica" w:hAnsi="Helvetica"/>
                <w:color w:val="333333"/>
                <w:sz w:val="23"/>
                <w:szCs w:val="23"/>
              </w:rPr>
            </w:pPr>
            <w:r>
              <w:rPr>
                <w:rFonts w:ascii="Helvetica" w:hAnsi="Helvetica"/>
                <w:color w:val="333333"/>
                <w:sz w:val="23"/>
                <w:szCs w:val="23"/>
              </w:rPr>
              <w:t> </w:t>
            </w:r>
          </w:p>
        </w:tc>
      </w:tr>
    </w:tbl>
    <w:p w:rsidR="009627A3" w:rsidRDefault="009627A3" w:rsidP="009627A3">
      <w:pPr>
        <w:spacing w:after="150" w:line="450" w:lineRule="atLeast"/>
        <w:rPr>
          <w:rFonts w:ascii="Helvetica" w:hAnsi="Helvetica" w:cs="Arial"/>
          <w:color w:val="333333"/>
          <w:sz w:val="23"/>
          <w:szCs w:val="23"/>
        </w:rPr>
      </w:pPr>
      <w:r>
        <w:rPr>
          <w:rFonts w:ascii="Helvetica" w:hAnsi="Helvetica" w:cs="Arial"/>
          <w:color w:val="333333"/>
          <w:sz w:val="23"/>
          <w:szCs w:val="23"/>
        </w:rPr>
        <w:t> </w:t>
      </w:r>
    </w:p>
    <w:p w:rsidR="009627A3" w:rsidRPr="00273E48" w:rsidRDefault="009627A3" w:rsidP="009627A3">
      <w:pPr>
        <w:spacing w:after="150" w:line="450" w:lineRule="atLeast"/>
        <w:rPr>
          <w:rFonts w:ascii="仿宋_GB2312" w:hAnsi="Helvetica" w:cs="Arial"/>
          <w:color w:val="333333"/>
          <w:szCs w:val="32"/>
        </w:rPr>
      </w:pPr>
      <w:r w:rsidRPr="00273E48">
        <w:rPr>
          <w:rStyle w:val="a7"/>
          <w:rFonts w:ascii="仿宋_GB2312" w:hAnsi="Helvetica" w:cs="Arial" w:hint="eastAsia"/>
          <w:color w:val="333333"/>
          <w:szCs w:val="32"/>
        </w:rPr>
        <w:t xml:space="preserve">【办理渠道】 </w:t>
      </w:r>
    </w:p>
    <w:p w:rsidR="009627A3" w:rsidRPr="00E36FE0" w:rsidRDefault="009627A3" w:rsidP="009627A3">
      <w:pPr>
        <w:spacing w:after="150" w:line="450" w:lineRule="atLeast"/>
        <w:rPr>
          <w:rFonts w:ascii="仿宋_GB2312" w:hAnsi="Helvetica" w:cs="Arial"/>
          <w:color w:val="333333"/>
          <w:szCs w:val="32"/>
        </w:rPr>
      </w:pPr>
      <w:r w:rsidRPr="00E36FE0">
        <w:rPr>
          <w:rFonts w:ascii="仿宋_GB2312" w:hAnsi="Helvetica" w:cs="Arial" w:hint="eastAsia"/>
          <w:color w:val="333333"/>
          <w:szCs w:val="32"/>
        </w:rPr>
        <w:t>1</w:t>
      </w:r>
      <w:r>
        <w:rPr>
          <w:rFonts w:ascii="仿宋_GB2312" w:hAnsi="Helvetica" w:cs="Arial" w:hint="eastAsia"/>
          <w:color w:val="333333"/>
          <w:szCs w:val="32"/>
        </w:rPr>
        <w:t>.</w:t>
      </w:r>
      <w:hyperlink r:id="rId6" w:tgtFrame="_blank" w:history="1">
        <w:r w:rsidRPr="00E36FE0">
          <w:rPr>
            <w:rFonts w:ascii="仿宋_GB2312" w:hint="eastAsia"/>
            <w:color w:val="333333"/>
            <w:szCs w:val="32"/>
          </w:rPr>
          <w:t>办税服务厅（场所）</w:t>
        </w:r>
      </w:hyperlink>
    </w:p>
    <w:p w:rsidR="009627A3" w:rsidRPr="00E36FE0" w:rsidRDefault="009627A3" w:rsidP="009627A3">
      <w:pPr>
        <w:spacing w:after="150" w:line="450" w:lineRule="atLeast"/>
        <w:rPr>
          <w:rFonts w:ascii="仿宋_GB2312" w:hAnsi="Helvetica" w:cs="Arial"/>
          <w:color w:val="333333"/>
          <w:szCs w:val="32"/>
        </w:rPr>
      </w:pPr>
      <w:r w:rsidRPr="00E36FE0">
        <w:rPr>
          <w:rFonts w:ascii="仿宋_GB2312" w:hAnsi="Helvetica" w:cs="Arial" w:hint="eastAsia"/>
          <w:color w:val="333333"/>
          <w:szCs w:val="32"/>
        </w:rPr>
        <w:t>2</w:t>
      </w:r>
      <w:r>
        <w:rPr>
          <w:rFonts w:ascii="仿宋_GB2312" w:hAnsi="Helvetica" w:cs="Arial" w:hint="eastAsia"/>
          <w:color w:val="333333"/>
          <w:szCs w:val="32"/>
        </w:rPr>
        <w:t>.</w:t>
      </w:r>
      <w:hyperlink r:id="rId7" w:tgtFrame="_blank" w:history="1">
        <w:r w:rsidRPr="00E36FE0">
          <w:rPr>
            <w:rFonts w:ascii="仿宋_GB2312" w:hint="eastAsia"/>
            <w:color w:val="333333"/>
            <w:szCs w:val="32"/>
          </w:rPr>
          <w:t>电子税务局</w:t>
        </w:r>
      </w:hyperlink>
    </w:p>
    <w:p w:rsidR="009627A3" w:rsidRPr="00273E48" w:rsidRDefault="009627A3" w:rsidP="009627A3">
      <w:pPr>
        <w:spacing w:after="150" w:line="450" w:lineRule="atLeast"/>
        <w:rPr>
          <w:rFonts w:ascii="仿宋_GB2312" w:hAnsi="Helvetica" w:cs="Arial"/>
          <w:color w:val="333333"/>
          <w:szCs w:val="32"/>
        </w:rPr>
      </w:pPr>
      <w:r w:rsidRPr="00273E48">
        <w:rPr>
          <w:rStyle w:val="a7"/>
          <w:rFonts w:ascii="仿宋_GB2312" w:hAnsi="Helvetica" w:cs="Arial" w:hint="eastAsia"/>
          <w:color w:val="333333"/>
          <w:szCs w:val="32"/>
        </w:rPr>
        <w:t>【办事流程】</w:t>
      </w:r>
    </w:p>
    <w:p w:rsidR="009627A3" w:rsidRDefault="009627A3" w:rsidP="009627A3">
      <w:pPr>
        <w:spacing w:after="150" w:line="450" w:lineRule="atLeast"/>
        <w:jc w:val="center"/>
        <w:rPr>
          <w:rFonts w:ascii="Helvetica" w:hAnsi="Helvetica" w:cs="Arial"/>
          <w:color w:val="333333"/>
          <w:sz w:val="23"/>
          <w:szCs w:val="23"/>
        </w:rPr>
      </w:pPr>
      <w:r>
        <w:rPr>
          <w:rFonts w:ascii="Helvetica" w:hAnsi="Helvetica" w:cs="Arial"/>
          <w:b/>
          <w:bCs/>
          <w:noProof/>
          <w:color w:val="333333"/>
          <w:sz w:val="23"/>
          <w:szCs w:val="23"/>
        </w:rPr>
        <w:lastRenderedPageBreak/>
        <w:drawing>
          <wp:inline distT="0" distB="0" distL="0" distR="0" wp14:anchorId="4E2BF1AD" wp14:editId="06E35D82">
            <wp:extent cx="4762500" cy="2712720"/>
            <wp:effectExtent l="0" t="0" r="0" b="0"/>
            <wp:docPr id="9" name="图片 2" descr="https://shanghai.chinatax.gov.cn/pub/bsfw/bszn/bszn/sbns/201903/W02019032963484728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hanghai.chinatax.gov.cn/pub/bsfw/bszn/bszn/sbns/201903/W0201903296348472804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712720"/>
                    </a:xfrm>
                    <a:prstGeom prst="rect">
                      <a:avLst/>
                    </a:prstGeom>
                    <a:noFill/>
                    <a:ln>
                      <a:noFill/>
                    </a:ln>
                  </pic:spPr>
                </pic:pic>
              </a:graphicData>
            </a:graphic>
          </wp:inline>
        </w:drawing>
      </w:r>
      <w:r>
        <w:rPr>
          <w:rStyle w:val="a7"/>
          <w:rFonts w:ascii="Helvetica" w:hAnsi="Helvetica" w:cs="Arial"/>
          <w:color w:val="333333"/>
          <w:sz w:val="23"/>
          <w:szCs w:val="23"/>
        </w:rPr>
        <w:t> </w:t>
      </w:r>
    </w:p>
    <w:p w:rsidR="009627A3" w:rsidRPr="00273E48" w:rsidRDefault="009627A3" w:rsidP="009627A3">
      <w:pPr>
        <w:spacing w:after="150" w:line="450" w:lineRule="atLeast"/>
        <w:jc w:val="left"/>
        <w:rPr>
          <w:rFonts w:ascii="仿宋_GB2312" w:hAnsi="Helvetica" w:cs="Arial"/>
          <w:color w:val="333333"/>
          <w:szCs w:val="32"/>
        </w:rPr>
      </w:pPr>
      <w:r w:rsidRPr="00273E48">
        <w:rPr>
          <w:rStyle w:val="a7"/>
          <w:rFonts w:ascii="仿宋_GB2312" w:hAnsi="Helvetica" w:cs="Arial" w:hint="eastAsia"/>
          <w:color w:val="333333"/>
          <w:szCs w:val="32"/>
        </w:rPr>
        <w:t xml:space="preserve">【办理时限】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1.集成电路企业采购设备留抵退税，资料齐全、符合法定形式、填写内容完整的，税务机关自受理之日起15个工作日内查实并办理退还手续。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2.乙烯、芳烃类化工产品生产企业、大型客机、大型客机发动机研制企业、新支线飞机生产销售企业的留抵退税事项，资料齐全、符合法定形式、填写内容完整的，税务机关自受理之日起20个工作日内查实并办理退还手续。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3.其他符合条件（具体条件详见【纳税人注意事项】第6项）纳税人的留抵退税事项，资料齐全、符合法定形式、填写内容完整的，税务机关自受理之日起10个工作日内查实并办理退还手续。 </w:t>
      </w:r>
    </w:p>
    <w:p w:rsidR="009627A3" w:rsidRPr="00273E48" w:rsidRDefault="009627A3" w:rsidP="009627A3">
      <w:pPr>
        <w:spacing w:after="150" w:line="450" w:lineRule="atLeast"/>
        <w:rPr>
          <w:rFonts w:ascii="仿宋_GB2312" w:hAnsi="Helvetica" w:cs="Arial"/>
          <w:color w:val="333333"/>
          <w:szCs w:val="32"/>
        </w:rPr>
      </w:pPr>
      <w:r w:rsidRPr="00273E48">
        <w:rPr>
          <w:rStyle w:val="a7"/>
          <w:rFonts w:ascii="仿宋_GB2312" w:hAnsi="Helvetica" w:cs="Arial" w:hint="eastAsia"/>
          <w:color w:val="333333"/>
          <w:szCs w:val="32"/>
        </w:rPr>
        <w:t xml:space="preserve">【办理结果】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税务机关反馈《税务事项通知书》。 </w:t>
      </w:r>
    </w:p>
    <w:p w:rsidR="009627A3" w:rsidRPr="00273E48" w:rsidRDefault="009627A3" w:rsidP="009627A3">
      <w:pPr>
        <w:spacing w:after="150" w:line="450" w:lineRule="atLeast"/>
        <w:rPr>
          <w:rFonts w:ascii="仿宋_GB2312" w:hAnsi="Helvetica" w:cs="Arial"/>
          <w:color w:val="333333"/>
          <w:szCs w:val="32"/>
        </w:rPr>
      </w:pPr>
      <w:r w:rsidRPr="00273E48">
        <w:rPr>
          <w:rStyle w:val="a7"/>
          <w:rFonts w:ascii="仿宋_GB2312" w:hAnsi="Helvetica" w:cs="Arial" w:hint="eastAsia"/>
          <w:color w:val="333333"/>
          <w:szCs w:val="32"/>
        </w:rPr>
        <w:lastRenderedPageBreak/>
        <w:t xml:space="preserve">【纳税人注意事项】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1．纳税人对报送材料的真实性和合法性承担责任。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2．纳税人应于每月申报期结束后10个工作日内向主管税务机关申请退税。（大飞机/新支线飞机未明确规定时限及资料，其他符合条件的企业按照具体文件要求时限报送）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3．纳税人收到退税款项的当月，应相应调减当期留抵税额。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4．对国家批准的集成电路重大项目企业，购进的设备属于《中华人民共和国增值税暂行条例实施细则》第21条第2款规定的固定资产范围，因购进该设备形成的增值税期末留抵税额予以退还。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5．对实行增值税期末留抵退税的纳税人，允许其从城市维护建设税、教育费附加和地方教育附加的计税（征）依据中扣除退还的增值税税额。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6．其他符合条件纳税人具体范围如下：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（1）行业范围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微软雅黑" w:cs="微软雅黑" w:hint="eastAsia"/>
          <w:color w:val="333333"/>
          <w:szCs w:val="32"/>
        </w:rPr>
        <w:t>①</w:t>
      </w:r>
      <w:r w:rsidRPr="00273E48">
        <w:rPr>
          <w:rFonts w:ascii="仿宋_GB2312" w:hAnsi="Helvetica" w:cs="Arial" w:hint="eastAsia"/>
          <w:color w:val="333333"/>
          <w:szCs w:val="32"/>
        </w:rPr>
        <w:t xml:space="preserve">装备制造等先进制造业和研发等现代服务业。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按照国民经济行业分类，装备制造等先进制造业和研发等现代服务业包括专用设备制造业、研究和试验发展等18个大类行业，详见附件《2018年退还增值税期末留抵税额行业目录》。纳税人所属行业根据税务登记的国民经济行业确定，并</w:t>
      </w:r>
      <w:r w:rsidRPr="00273E48">
        <w:rPr>
          <w:rFonts w:ascii="仿宋_GB2312" w:hAnsi="Helvetica" w:cs="Arial" w:hint="eastAsia"/>
          <w:color w:val="333333"/>
          <w:szCs w:val="32"/>
        </w:rPr>
        <w:lastRenderedPageBreak/>
        <w:t xml:space="preserve">优先选择以下范围内的纳税人：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a:《中国制造2025》明确的新一代信息技术、高档数控机床和机器人、航空航天装备、海洋工程装备及高技术船舶、先进轨道交通装备、节能与新能源汽车、电力装备、农业机械装备、新材料、生物医药及高性能医疗器械等10个重点领域。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b：高新技术企业、技术先进型服务企业和科技型中小企业。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微软雅黑" w:cs="微软雅黑" w:hint="eastAsia"/>
          <w:color w:val="333333"/>
          <w:szCs w:val="32"/>
        </w:rPr>
        <w:t>②</w:t>
      </w:r>
      <w:r w:rsidRPr="00273E48">
        <w:rPr>
          <w:rFonts w:ascii="仿宋_GB2312" w:hAnsi="Helvetica" w:cs="Arial" w:hint="eastAsia"/>
          <w:color w:val="333333"/>
          <w:szCs w:val="32"/>
        </w:rPr>
        <w:t xml:space="preserve">电网企业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取得电力业务许可证（输电类、供电类）的全部电网企业。 </w:t>
      </w:r>
    </w:p>
    <w:p w:rsidR="009627A3" w:rsidRDefault="009627A3" w:rsidP="009627A3">
      <w:pPr>
        <w:spacing w:after="150" w:line="450" w:lineRule="atLeast"/>
        <w:rPr>
          <w:rFonts w:ascii="Helvetica" w:hAnsi="Helvetica" w:cs="Arial"/>
          <w:color w:val="333333"/>
          <w:sz w:val="23"/>
          <w:szCs w:val="23"/>
        </w:rPr>
      </w:pPr>
      <w:r w:rsidRPr="00273E48">
        <w:rPr>
          <w:rFonts w:ascii="仿宋_GB2312" w:hAnsi="Helvetica" w:cs="Arial" w:hint="eastAsia"/>
          <w:color w:val="333333"/>
          <w:szCs w:val="32"/>
        </w:rPr>
        <w:t xml:space="preserve">2018年退还增值税期末留抵税额行业目录 </w:t>
      </w:r>
      <w:r>
        <w:rPr>
          <w:rFonts w:ascii="Helvetica" w:hAnsi="Helvetica" w:cs="Arial"/>
          <w:color w:val="333333"/>
          <w:sz w:val="23"/>
          <w:szCs w:val="23"/>
        </w:rPr>
        <w:t> </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8"/>
        <w:gridCol w:w="6717"/>
      </w:tblGrid>
      <w:tr w:rsidR="009627A3" w:rsidTr="00662C5F">
        <w:trPr>
          <w:jc w:val="center"/>
        </w:trPr>
        <w:tc>
          <w:tcPr>
            <w:tcW w:w="9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s="宋体"/>
                <w:color w:val="333333"/>
                <w:sz w:val="23"/>
                <w:szCs w:val="23"/>
              </w:rPr>
            </w:pPr>
            <w:r>
              <w:rPr>
                <w:rFonts w:ascii="Helvetica" w:hAnsi="Helvetica"/>
                <w:b/>
                <w:bCs/>
                <w:color w:val="333333"/>
              </w:rPr>
              <w:t>序号</w:t>
            </w:r>
          </w:p>
        </w:tc>
        <w:tc>
          <w:tcPr>
            <w:tcW w:w="67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b/>
                <w:bCs/>
                <w:color w:val="333333"/>
              </w:rPr>
              <w:t>行业名称</w:t>
            </w:r>
            <w:r>
              <w:rPr>
                <w:rFonts w:ascii="Helvetica" w:hAnsi="Helvetica"/>
                <w:b/>
                <w:bCs/>
                <w:color w:val="333333"/>
                <w:sz w:val="23"/>
                <w:szCs w:val="23"/>
              </w:rPr>
              <w:t> </w:t>
            </w:r>
          </w:p>
          <w:p w:rsidR="009627A3" w:rsidRDefault="009627A3" w:rsidP="00662C5F">
            <w:pPr>
              <w:spacing w:after="150" w:line="346" w:lineRule="atLeast"/>
              <w:jc w:val="center"/>
              <w:rPr>
                <w:rFonts w:ascii="Helvetica" w:hAnsi="Helvetica"/>
                <w:color w:val="333333"/>
                <w:sz w:val="23"/>
                <w:szCs w:val="23"/>
              </w:rPr>
            </w:pPr>
            <w:r>
              <w:rPr>
                <w:rFonts w:ascii="Helvetica" w:hAnsi="Helvetica"/>
                <w:b/>
                <w:bCs/>
                <w:color w:val="333333"/>
                <w:sz w:val="17"/>
                <w:szCs w:val="17"/>
              </w:rPr>
              <w:t>（按国民经济行业分类统计）</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化学原料和化学制品制造业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2</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医药制造业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3</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化学纤维制造业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4</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非金属矿物制品业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5</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金属制品业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6</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通用设备制造业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lastRenderedPageBreak/>
              <w:t>7</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专用设备制造业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8</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汽车制造业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9</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铁路、船舶、航空航天和其他运输设备制造业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10</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电气机械和器材制造业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11</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计算机、通信和其他电子设备制造业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12</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仪器仪表制造业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13</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互联网和相关服务</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14</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软件和信息技术服务业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15</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研究和试验发展</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16</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专业技术服务业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17</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科技推广和应用服务业</w:t>
            </w:r>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18</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生态保护和环境</w:t>
            </w:r>
            <w:proofErr w:type="gramStart"/>
            <w:r>
              <w:rPr>
                <w:rFonts w:ascii="Helvetica" w:hAnsi="Helvetica"/>
                <w:color w:val="333333"/>
              </w:rPr>
              <w:t>治理业</w:t>
            </w:r>
            <w:proofErr w:type="gramEnd"/>
          </w:p>
        </w:tc>
      </w:tr>
      <w:tr w:rsidR="009627A3" w:rsidTr="00662C5F">
        <w:trPr>
          <w:jc w:val="center"/>
        </w:trPr>
        <w:tc>
          <w:tcPr>
            <w:tcW w:w="9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19</w:t>
            </w:r>
          </w:p>
        </w:tc>
        <w:tc>
          <w:tcPr>
            <w:tcW w:w="67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627A3" w:rsidRDefault="009627A3" w:rsidP="00662C5F">
            <w:pPr>
              <w:spacing w:after="150" w:line="346" w:lineRule="atLeast"/>
              <w:jc w:val="center"/>
              <w:rPr>
                <w:rFonts w:ascii="Helvetica" w:hAnsi="Helvetica"/>
                <w:color w:val="333333"/>
                <w:sz w:val="23"/>
                <w:szCs w:val="23"/>
              </w:rPr>
            </w:pPr>
            <w:r>
              <w:rPr>
                <w:rFonts w:ascii="Helvetica" w:hAnsi="Helvetica"/>
                <w:color w:val="333333"/>
              </w:rPr>
              <w:t>电网企业</w:t>
            </w:r>
          </w:p>
        </w:tc>
      </w:tr>
    </w:tbl>
    <w:p w:rsidR="009627A3" w:rsidRDefault="009627A3" w:rsidP="009627A3">
      <w:pPr>
        <w:spacing w:after="150" w:line="450" w:lineRule="atLeast"/>
        <w:jc w:val="left"/>
        <w:rPr>
          <w:rFonts w:ascii="Helvetica" w:hAnsi="Helvetica" w:cs="Arial"/>
          <w:color w:val="333333"/>
          <w:sz w:val="23"/>
          <w:szCs w:val="23"/>
        </w:rPr>
      </w:pPr>
      <w:r>
        <w:rPr>
          <w:rFonts w:ascii="Helvetica" w:hAnsi="Helvetica" w:cs="Arial"/>
          <w:color w:val="333333"/>
          <w:sz w:val="23"/>
          <w:szCs w:val="23"/>
        </w:rPr>
        <w:t>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（2）纳税信用等级为A级或B级（电网企业除外）。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7．办税服务厅地址、网上税务局网址，可在省局税务机关门户网站或拨打12366纳税服务热线查询。 </w:t>
      </w:r>
      <w:r w:rsidRPr="00273E48">
        <w:rPr>
          <w:rFonts w:ascii="仿宋_GB2312" w:hAnsi="Helvetica" w:cs="Arial" w:hint="eastAsia"/>
          <w:color w:val="333333"/>
          <w:szCs w:val="32"/>
        </w:rPr>
        <w:t> </w:t>
      </w:r>
    </w:p>
    <w:p w:rsidR="009627A3" w:rsidRPr="00273E48" w:rsidRDefault="009627A3" w:rsidP="009627A3">
      <w:pPr>
        <w:spacing w:after="150" w:line="450" w:lineRule="atLeast"/>
        <w:rPr>
          <w:rFonts w:ascii="仿宋_GB2312" w:hAnsi="Helvetica" w:cs="Arial"/>
          <w:color w:val="333333"/>
          <w:szCs w:val="32"/>
        </w:rPr>
      </w:pPr>
      <w:r w:rsidRPr="00273E48">
        <w:rPr>
          <w:rStyle w:val="a7"/>
          <w:rFonts w:ascii="仿宋_GB2312" w:hAnsi="Helvetica" w:cs="Arial" w:hint="eastAsia"/>
          <w:color w:val="333333"/>
          <w:szCs w:val="32"/>
        </w:rPr>
        <w:t xml:space="preserve">【政策依据】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lastRenderedPageBreak/>
        <w:t xml:space="preserve">1.《财政部 国家税务总局关于退还集成电路企业采购设备增值税期末留抵税额的通知》（财税〔2011〕107号）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2.《财政部 国家税务总局关于利用石脑油和燃料油生产乙烯芳烃类产品有关增值税政策的通知》（财税〔2014〕17号）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3.《财政部 国家税务总局关于大型客机和新支线飞机增值税政策的通知》（财税〔2016〕141号） </w:t>
      </w:r>
    </w:p>
    <w:p w:rsidR="009627A3" w:rsidRPr="00273E48" w:rsidRDefault="009627A3" w:rsidP="009627A3">
      <w:pPr>
        <w:spacing w:after="150" w:line="450" w:lineRule="atLeast"/>
        <w:rPr>
          <w:rFonts w:ascii="仿宋_GB2312" w:hAnsi="Helvetica" w:cs="Arial"/>
          <w:color w:val="333333"/>
          <w:szCs w:val="32"/>
        </w:rPr>
      </w:pPr>
      <w:r w:rsidRPr="00273E48">
        <w:rPr>
          <w:rFonts w:ascii="仿宋_GB2312" w:hAnsi="Helvetica" w:cs="Arial" w:hint="eastAsia"/>
          <w:color w:val="333333"/>
          <w:szCs w:val="32"/>
        </w:rPr>
        <w:t xml:space="preserve">4.《财政部 国家税务总局关于2018年退还部分行业增值税留抵税额有关税收政策的通知》（财税〔2018〕70号） </w:t>
      </w:r>
    </w:p>
    <w:p w:rsidR="003828F6" w:rsidRDefault="009627A3" w:rsidP="009627A3">
      <w:r w:rsidRPr="00273E48">
        <w:rPr>
          <w:rFonts w:ascii="仿宋_GB2312" w:hAnsi="Helvetica" w:cs="Arial" w:hint="eastAsia"/>
          <w:color w:val="333333"/>
          <w:szCs w:val="32"/>
        </w:rPr>
        <w:t>5.《财政部 税务总局关于增值税期末留抵退税有关城市维护建设税教育费附加和地方教育附加政策的通知》（财税〔2018〕80号）</w:t>
      </w:r>
    </w:p>
    <w:sectPr w:rsidR="003828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7A3" w:rsidRDefault="009627A3" w:rsidP="009627A3">
      <w:r>
        <w:separator/>
      </w:r>
    </w:p>
  </w:endnote>
  <w:endnote w:type="continuationSeparator" w:id="0">
    <w:p w:rsidR="009627A3" w:rsidRDefault="009627A3" w:rsidP="0096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7A3" w:rsidRDefault="009627A3" w:rsidP="009627A3">
      <w:r>
        <w:separator/>
      </w:r>
    </w:p>
  </w:footnote>
  <w:footnote w:type="continuationSeparator" w:id="0">
    <w:p w:rsidR="009627A3" w:rsidRDefault="009627A3" w:rsidP="00962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09"/>
    <w:rsid w:val="001F4F47"/>
    <w:rsid w:val="003828F6"/>
    <w:rsid w:val="009627A3"/>
    <w:rsid w:val="009D3709"/>
    <w:rsid w:val="00A34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F4D46"/>
  <w15:chartTrackingRefBased/>
  <w15:docId w15:val="{B9854A4B-0BFF-4941-B5AC-43A6EC2E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F47"/>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7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27A3"/>
    <w:rPr>
      <w:rFonts w:eastAsia="仿宋_GB2312"/>
      <w:sz w:val="18"/>
      <w:szCs w:val="18"/>
    </w:rPr>
  </w:style>
  <w:style w:type="paragraph" w:styleId="a5">
    <w:name w:val="footer"/>
    <w:basedOn w:val="a"/>
    <w:link w:val="a6"/>
    <w:uiPriority w:val="99"/>
    <w:unhideWhenUsed/>
    <w:rsid w:val="009627A3"/>
    <w:pPr>
      <w:tabs>
        <w:tab w:val="center" w:pos="4153"/>
        <w:tab w:val="right" w:pos="8306"/>
      </w:tabs>
      <w:snapToGrid w:val="0"/>
      <w:jc w:val="left"/>
    </w:pPr>
    <w:rPr>
      <w:sz w:val="18"/>
      <w:szCs w:val="18"/>
    </w:rPr>
  </w:style>
  <w:style w:type="character" w:customStyle="1" w:styleId="a6">
    <w:name w:val="页脚 字符"/>
    <w:basedOn w:val="a0"/>
    <w:link w:val="a5"/>
    <w:uiPriority w:val="99"/>
    <w:rsid w:val="009627A3"/>
    <w:rPr>
      <w:rFonts w:eastAsia="仿宋_GB2312"/>
      <w:sz w:val="18"/>
      <w:szCs w:val="18"/>
    </w:rPr>
  </w:style>
  <w:style w:type="character" w:styleId="a7">
    <w:name w:val="Strong"/>
    <w:qFormat/>
    <w:rsid w:val="00962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etax.shanghai.chinatax.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nghai.chinatax.gov.cn/pub/bsfw/bszn/csdwfw/201004/t20100408_291009.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频 徐</dc:creator>
  <cp:keywords/>
  <dc:description/>
  <cp:lastModifiedBy>频 徐</cp:lastModifiedBy>
  <cp:revision>3</cp:revision>
  <dcterms:created xsi:type="dcterms:W3CDTF">2019-05-19T12:17:00Z</dcterms:created>
  <dcterms:modified xsi:type="dcterms:W3CDTF">2019-05-19T12:55:00Z</dcterms:modified>
</cp:coreProperties>
</file>