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0"/>
        <w:jc w:val="center"/>
        <w:textAlignment w:val="auto"/>
        <w:rPr>
          <w:rFonts w:hint="eastAsia" w:ascii="方正小标宋简体" w:hAnsi="方正小标宋简体" w:eastAsia="方正小标宋简体" w:cs="方正小标宋简体"/>
          <w:b w:val="0"/>
          <w:bCs w:val="0"/>
          <w:color w:val="auto"/>
          <w:spacing w:val="0"/>
          <w:sz w:val="36"/>
          <w:szCs w:val="36"/>
          <w:lang w:val="en-US" w:eastAsia="zh-CN"/>
        </w:rPr>
      </w:pPr>
      <w:r>
        <w:rPr>
          <w:rFonts w:hint="eastAsia" w:ascii="方正小标宋简体" w:hAnsi="方正小标宋简体" w:eastAsia="方正小标宋简体" w:cs="方正小标宋简体"/>
          <w:b w:val="0"/>
          <w:bCs w:val="0"/>
          <w:color w:val="auto"/>
          <w:spacing w:val="0"/>
          <w:sz w:val="36"/>
          <w:szCs w:val="36"/>
          <w:lang w:val="en-US" w:eastAsia="zh-CN"/>
        </w:rPr>
        <w:t>上海电力供应环境可持续性关键绩效指标报告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0"/>
        <w:jc w:val="center"/>
        <w:textAlignment w:val="auto"/>
        <w:rPr>
          <w:rFonts w:hint="eastAsia" w:ascii="方正小标宋简体" w:hAnsi="方正小标宋简体" w:eastAsia="方正小标宋简体" w:cs="方正小标宋简体"/>
          <w:b w:val="0"/>
          <w:bCs w:val="0"/>
          <w:color w:val="auto"/>
          <w:spacing w:val="0"/>
          <w:sz w:val="36"/>
          <w:szCs w:val="36"/>
          <w:lang w:val="en-US" w:eastAsia="zh-CN"/>
        </w:rPr>
      </w:pPr>
      <w:bookmarkStart w:id="0" w:name="_GoBack"/>
      <w:r>
        <w:rPr>
          <w:rFonts w:hint="eastAsia" w:ascii="方正小标宋简体" w:hAnsi="方正小标宋简体" w:eastAsia="方正小标宋简体" w:cs="方正小标宋简体"/>
          <w:b w:val="0"/>
          <w:bCs w:val="0"/>
          <w:color w:val="auto"/>
          <w:spacing w:val="0"/>
          <w:sz w:val="36"/>
          <w:szCs w:val="36"/>
          <w:lang w:val="en-US" w:eastAsia="zh-CN"/>
        </w:rPr>
        <w:t>（2023年度）</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0"/>
        <w:jc w:val="center"/>
        <w:textAlignment w:val="auto"/>
        <w:rPr>
          <w:rFonts w:hint="default" w:ascii="Times New Roman" w:hAnsi="Times New Roman" w:eastAsia="方正小标宋简体" w:cs="Times New Roman"/>
          <w:b w:val="0"/>
          <w:bCs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28"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2023年，上海电力供需平稳有序，电源侧进一步清洁化、低碳化，电网侧进一步坚强化、智能化，用户侧进一步灵活化、友好化，虚拟电厂持续深化应用，新型电力系统建设加速推进，上海电力供应环境可持续性关键绩效指标数据如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0" w:firstLine="628"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一、上海电力总体供需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0"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1、电力平衡情况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2023年受总体“凉夏”影响，上海电网最高用电负荷达3675万千瓦，同比2022年3807万千瓦下降3.5%；冬季受持续强寒潮影响，最高用电负荷达3499万千瓦，创冬季历史新高，较2021年3339万千瓦增长4.8%。</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56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本市最高发电出力达2233万千瓦，创历史新高，同比增长4.5%；最高受电1812万千瓦，同比降低1.9%；上海电网最大峰谷差1529万千瓦，同比降低5.4%。</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0"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2、电量平衡情况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上海市经济总体</w:t>
      </w:r>
      <w:r>
        <w:rPr>
          <w:rFonts w:hint="eastAsia" w:ascii="仿宋_GB2312" w:hAnsi="仿宋_GB2312" w:eastAsia="仿宋_GB2312" w:cs="仿宋_GB2312"/>
          <w:color w:val="auto"/>
          <w:sz w:val="32"/>
          <w:szCs w:val="32"/>
          <w:lang w:eastAsia="zh-CN"/>
        </w:rPr>
        <w:t>平稳</w:t>
      </w:r>
      <w:r>
        <w:rPr>
          <w:rFonts w:hint="eastAsia" w:ascii="仿宋_GB2312" w:hAnsi="仿宋_GB2312" w:eastAsia="仿宋_GB2312" w:cs="仿宋_GB2312"/>
          <w:color w:val="auto"/>
          <w:sz w:val="32"/>
          <w:szCs w:val="32"/>
        </w:rPr>
        <w:t>向好</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用电量达1849亿千瓦时，同比增长5.9%。其中，本市发电量1015亿千瓦时，同比增长5.4%，占全年用电量54.9%；市外来电834亿千瓦时，同比增长6.6%，占全年用电量45.1%。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0" w:firstLine="628"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二、电源侧可持续发展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0"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本市电源方面，上海市新投运1台65万千瓦超超临界煤电机组和1台74.5万千瓦9H燃气机组，公用火电机组更加清洁高效；可再生能源装机规模持续提升，较2022年增加108万千瓦，其中光伏95万千瓦。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市外电源方面，在保持西南水电全额消纳的基础上，积极购买风、光等可再生能源，其中2023年上海市绿电交易达21.5亿千瓦时，较2022年6.7亿千瓦时大幅增长。</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1、本市电厂能源效率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得益于本市发电机组更加高效，上海市供电煤耗为295.</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克/千瓦时，同比下降4.</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克/千瓦时，降幅为1.</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%；6000千瓦及以上发电厂用电率为4.67%，同比下降0.12</w:t>
      </w:r>
      <w:r>
        <w:rPr>
          <w:rFonts w:hint="eastAsia" w:ascii="仿宋_GB2312" w:hAnsi="仿宋_GB2312" w:cs="仿宋_GB2312"/>
          <w:color w:val="auto"/>
          <w:sz w:val="32"/>
          <w:szCs w:val="32"/>
          <w:lang w:val="en-US" w:eastAsia="zh-CN"/>
        </w:rPr>
        <w:t>个百分点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2、可再生能源使用率</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628"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2023年上海电网可再生能源用电量5</w:t>
      </w:r>
      <w:r>
        <w:rPr>
          <w:rFonts w:hint="eastAsia" w:ascii="仿宋_GB2312" w:hAnsi="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0亿千瓦时，同比增长</w:t>
      </w:r>
      <w:r>
        <w:rPr>
          <w:rFonts w:hint="eastAsia" w:ascii="仿宋_GB2312" w:hAnsi="仿宋_GB2312" w:cs="仿宋_GB2312"/>
          <w:color w:val="auto"/>
          <w:kern w:val="2"/>
          <w:sz w:val="32"/>
          <w:szCs w:val="32"/>
          <w:lang w:val="en-US" w:eastAsia="zh-CN" w:bidi="ar-SA"/>
        </w:rPr>
        <w:t>7.7</w:t>
      </w:r>
      <w:r>
        <w:rPr>
          <w:rFonts w:hint="eastAsia" w:ascii="仿宋_GB2312" w:hAnsi="仿宋_GB2312" w:eastAsia="仿宋_GB2312" w:cs="仿宋_GB2312"/>
          <w:color w:val="auto"/>
          <w:kern w:val="2"/>
          <w:sz w:val="32"/>
          <w:szCs w:val="32"/>
          <w:lang w:val="en-US" w:eastAsia="zh-CN" w:bidi="ar-SA"/>
        </w:rPr>
        <w:t>%，占我市用电量比重为30.3%，完成国家下达的30%指标。非水可再生能源用电量138亿千瓦时，同比增长32.7%，占我市用电量比重为7.5%，较国家下达的指标高1.5</w:t>
      </w:r>
      <w:r>
        <w:rPr>
          <w:rFonts w:hint="eastAsia" w:ascii="仿宋_GB2312" w:hAnsi="仿宋_GB2312" w:cs="仿宋_GB2312"/>
          <w:color w:val="auto"/>
          <w:sz w:val="32"/>
          <w:szCs w:val="32"/>
          <w:lang w:val="en-US" w:eastAsia="zh-CN"/>
        </w:rPr>
        <w:t>个百分点</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本市可再生能源装机容量479万千瓦，同比增长29.1%，占本市发电装机容量16.2%，同比提高3.1</w:t>
      </w:r>
      <w:r>
        <w:rPr>
          <w:rFonts w:hint="eastAsia" w:ascii="仿宋_GB2312" w:hAnsi="仿宋_GB2312" w:cs="仿宋_GB2312"/>
          <w:color w:val="auto"/>
          <w:sz w:val="32"/>
          <w:szCs w:val="32"/>
          <w:lang w:val="en-US" w:eastAsia="zh-CN"/>
        </w:rPr>
        <w:t>个百分点</w:t>
      </w:r>
      <w:r>
        <w:rPr>
          <w:rFonts w:hint="eastAsia" w:ascii="仿宋_GB2312" w:hAnsi="仿宋_GB2312" w:eastAsia="仿宋_GB2312" w:cs="仿宋_GB2312"/>
          <w:color w:val="auto"/>
          <w:kern w:val="2"/>
          <w:sz w:val="32"/>
          <w:szCs w:val="32"/>
          <w:lang w:val="en-US" w:eastAsia="zh-CN" w:bidi="ar-SA"/>
        </w:rPr>
        <w:t>。本市可再生能源发电量89亿千瓦时，同比增长9.9%，占我市发电量8.8%，同比提高0.36</w:t>
      </w:r>
      <w:r>
        <w:rPr>
          <w:rFonts w:hint="eastAsia" w:ascii="仿宋_GB2312" w:hAnsi="仿宋_GB2312" w:cs="仿宋_GB2312"/>
          <w:color w:val="auto"/>
          <w:sz w:val="32"/>
          <w:szCs w:val="32"/>
          <w:lang w:val="en-US" w:eastAsia="zh-CN"/>
        </w:rPr>
        <w:t>个百分点</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新能源发电量48亿千瓦时，同比增长14.3%，消纳率保持100%。</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3、化石燃料工程排放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在本市公用火电厂发电量同比小幅增长的情况下，通过科学实施节能减排调度，鼓励清洁高效机组多发，持续加强排放监测治理，上海市公用火电厂二氧化硫排放量为3366吨，与去年基本持平；氮氧化物排放量为5505吨，同比下降1.3%；颗粒物排放量为182吨，同比下降8.5%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上海市公用火电厂二氧化硫排放浓度、氮氧化物排放浓度、烟尘排放浓度达标率均为100%，符合国家关于火电厂大气污染物排放的标准；公用火电厂二氧化硫年度排放总量、氮氧化物年度排放总量以及颗粒物年度排放总量均显著低于年度许可排放总量。</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三、输配电侧可持续发展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0"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1、输配电效率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2023年上海电网优化运行方式，有序推进设备改造更新，全网线损率为2.77%，同比下降0.32</w:t>
      </w:r>
      <w:r>
        <w:rPr>
          <w:rFonts w:hint="eastAsia" w:ascii="仿宋_GB2312" w:hAnsi="仿宋_GB2312" w:cs="仿宋_GB2312"/>
          <w:color w:val="auto"/>
          <w:sz w:val="32"/>
          <w:szCs w:val="32"/>
          <w:lang w:val="en-US" w:eastAsia="zh-CN"/>
        </w:rPr>
        <w:t>个百分点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0"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2、变电站噪声检测率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2023年上海电网针对110千伏及以上变电站开展噪声检测，累计完成117座，检测率为25.9%，</w:t>
      </w:r>
      <w:r>
        <w:rPr>
          <w:rFonts w:hint="eastAsia" w:ascii="仿宋_GB2312" w:hAnsi="仿宋_GB2312" w:cs="仿宋_GB2312"/>
          <w:color w:val="auto"/>
          <w:sz w:val="32"/>
          <w:szCs w:val="32"/>
          <w:lang w:val="en-US" w:eastAsia="zh-CN"/>
        </w:rPr>
        <w:t>检测</w:t>
      </w:r>
      <w:r>
        <w:rPr>
          <w:rFonts w:hint="eastAsia" w:ascii="仿宋_GB2312" w:hAnsi="仿宋_GB2312" w:eastAsia="仿宋_GB2312" w:cs="仿宋_GB2312"/>
          <w:color w:val="auto"/>
          <w:sz w:val="32"/>
          <w:szCs w:val="32"/>
          <w:lang w:val="en-US" w:eastAsia="zh-CN"/>
        </w:rPr>
        <w:t>全部合格，符合国家电网公司每年噪声检测率超过25%的要求。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0"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3、输变电辐射检测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2023年上海电网累计完成47项输变电项目环保验收工作，均符合电磁场感应强度小于等于0.1mT的标准，达标率保持100%。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4、减少臭氧物质排放</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六氟化硫气体广泛应用在高压电器设备中，会分解产生氟化氢等破坏臭氧层物质。2023年上海电网持续推进电网设备环保工作，六氟化硫气体回收率达99.24%，同比上升0.2</w:t>
      </w:r>
      <w:r>
        <w:rPr>
          <w:rFonts w:hint="eastAsia" w:ascii="仿宋_GB2312" w:hAnsi="仿宋_GB2312" w:cs="仿宋_GB2312"/>
          <w:color w:val="auto"/>
          <w:sz w:val="32"/>
          <w:szCs w:val="32"/>
          <w:lang w:val="en-US" w:eastAsia="zh-CN"/>
        </w:rPr>
        <w:t>个百分点</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exact"/>
        <w:ind w:left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四、用户侧可持续发展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1、需求侧管理</w:t>
      </w:r>
    </w:p>
    <w:p>
      <w:pPr>
        <w:keepNext w:val="0"/>
        <w:keepLines w:val="0"/>
        <w:pageBreakBefore w:val="0"/>
        <w:widowControl w:val="0"/>
        <w:kinsoku/>
        <w:wordWrap/>
        <w:overflowPunct/>
        <w:topLinePunct w:val="0"/>
        <w:autoSpaceDE/>
        <w:autoSpaceDN/>
        <w:bidi w:val="0"/>
        <w:adjustRightInd/>
        <w:snapToGrid/>
        <w:spacing w:line="480" w:lineRule="exact"/>
        <w:ind w:firstLine="62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上海市需求响应管理平台</w:t>
      </w:r>
      <w:r>
        <w:rPr>
          <w:rFonts w:hint="eastAsia" w:ascii="仿宋_GB2312" w:hAnsi="仿宋_GB2312" w:eastAsia="仿宋_GB2312" w:cs="仿宋_GB2312"/>
          <w:color w:val="auto"/>
          <w:sz w:val="32"/>
          <w:szCs w:val="32"/>
        </w:rPr>
        <w:t>签约高压用户2646户，注册负荷集成商25家，共计</w:t>
      </w:r>
      <w:r>
        <w:rPr>
          <w:rFonts w:hint="eastAsia" w:ascii="仿宋_GB2312" w:hAnsi="仿宋_GB2312" w:eastAsia="仿宋_GB2312" w:cs="仿宋_GB2312"/>
          <w:color w:val="auto"/>
          <w:sz w:val="32"/>
          <w:szCs w:val="32"/>
          <w:lang w:eastAsia="zh-CN"/>
        </w:rPr>
        <w:t>接入</w:t>
      </w:r>
      <w:r>
        <w:rPr>
          <w:rFonts w:hint="eastAsia" w:ascii="仿宋_GB2312" w:hAnsi="仿宋_GB2312" w:eastAsia="仿宋_GB2312" w:cs="仿宋_GB2312"/>
          <w:color w:val="auto"/>
          <w:sz w:val="32"/>
          <w:szCs w:val="32"/>
        </w:rPr>
        <w:t>可调节负荷311万千瓦，</w:t>
      </w:r>
      <w:r>
        <w:rPr>
          <w:rFonts w:hint="eastAsia" w:ascii="仿宋_GB2312" w:hAnsi="仿宋_GB2312" w:eastAsia="仿宋_GB2312" w:cs="仿宋_GB2312"/>
          <w:color w:val="auto"/>
          <w:sz w:val="32"/>
          <w:szCs w:val="32"/>
          <w:lang w:eastAsia="zh-CN"/>
        </w:rPr>
        <w:t>同比增长28.</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；用户</w:t>
      </w:r>
      <w:r>
        <w:rPr>
          <w:rFonts w:hint="eastAsia" w:ascii="仿宋_GB2312" w:hAnsi="仿宋_GB2312" w:eastAsia="仿宋_GB2312" w:cs="仿宋_GB2312"/>
          <w:color w:val="auto"/>
          <w:sz w:val="32"/>
          <w:szCs w:val="32"/>
        </w:rPr>
        <w:t>覆盖工业、商业楼宇、电动汽车、铁塔基站、储能、三联供、分布式风光等多种可控资源。</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上海市注册</w:t>
      </w:r>
      <w:r>
        <w:rPr>
          <w:rFonts w:hint="eastAsia" w:ascii="仿宋_GB2312" w:hAnsi="仿宋_GB2312" w:eastAsia="仿宋_GB2312" w:cs="仿宋_GB2312"/>
          <w:color w:val="auto"/>
          <w:sz w:val="32"/>
          <w:szCs w:val="32"/>
        </w:rPr>
        <w:t>虚拟电厂运营商22家，</w:t>
      </w:r>
      <w:r>
        <w:rPr>
          <w:rFonts w:hint="eastAsia" w:ascii="仿宋_GB2312" w:hAnsi="仿宋_GB2312" w:eastAsia="仿宋_GB2312" w:cs="仿宋_GB2312"/>
          <w:color w:val="auto"/>
          <w:sz w:val="32"/>
          <w:szCs w:val="32"/>
          <w:lang w:eastAsia="zh-CN"/>
        </w:rPr>
        <w:t>签约</w:t>
      </w:r>
      <w:r>
        <w:rPr>
          <w:rFonts w:hint="eastAsia" w:ascii="仿宋_GB2312" w:hAnsi="仿宋_GB2312" w:eastAsia="仿宋_GB2312" w:cs="仿宋_GB2312"/>
          <w:color w:val="auto"/>
          <w:sz w:val="32"/>
          <w:szCs w:val="32"/>
        </w:rPr>
        <w:t>用户1549户，</w:t>
      </w:r>
      <w:r>
        <w:rPr>
          <w:rFonts w:hint="eastAsia" w:ascii="仿宋_GB2312" w:hAnsi="仿宋_GB2312" w:eastAsia="仿宋_GB2312" w:cs="仿宋_GB2312"/>
          <w:color w:val="auto"/>
          <w:sz w:val="32"/>
          <w:szCs w:val="32"/>
          <w:lang w:eastAsia="zh-CN"/>
        </w:rPr>
        <w:t>接入</w:t>
      </w:r>
      <w:r>
        <w:rPr>
          <w:rFonts w:hint="eastAsia" w:ascii="仿宋_GB2312" w:hAnsi="仿宋_GB2312" w:eastAsia="仿宋_GB2312" w:cs="仿宋_GB2312"/>
          <w:color w:val="auto"/>
          <w:sz w:val="32"/>
          <w:szCs w:val="32"/>
        </w:rPr>
        <w:t>可调节负荷</w:t>
      </w:r>
      <w:r>
        <w:rPr>
          <w:rFonts w:hint="eastAsia" w:ascii="仿宋_GB2312" w:hAnsi="仿宋_GB2312" w:eastAsia="仿宋_GB2312" w:cs="仿宋_GB2312"/>
          <w:color w:val="auto"/>
          <w:sz w:val="32"/>
          <w:szCs w:val="32"/>
          <w:lang w:val="en-US" w:eastAsia="zh-CN"/>
        </w:rPr>
        <w:t>70.0</w:t>
      </w:r>
      <w:r>
        <w:rPr>
          <w:rFonts w:hint="eastAsia" w:ascii="仿宋_GB2312" w:hAnsi="仿宋_GB2312" w:eastAsia="仿宋_GB2312" w:cs="仿宋_GB2312"/>
          <w:color w:val="auto"/>
          <w:sz w:val="32"/>
          <w:szCs w:val="32"/>
        </w:rPr>
        <w:t>万千瓦，</w:t>
      </w:r>
      <w:r>
        <w:rPr>
          <w:rFonts w:hint="eastAsia" w:ascii="仿宋_GB2312" w:hAnsi="仿宋_GB2312" w:eastAsia="仿宋_GB2312" w:cs="仿宋_GB2312"/>
          <w:color w:val="auto"/>
          <w:sz w:val="32"/>
          <w:szCs w:val="32"/>
          <w:lang w:eastAsia="zh-CN"/>
        </w:rPr>
        <w:t>同比增长250.6</w:t>
      </w:r>
      <w:r>
        <w:rPr>
          <w:rFonts w:hint="eastAsia" w:ascii="仿宋_GB2312" w:hAnsi="仿宋_GB2312" w:eastAsia="仿宋_GB2312" w:cs="仿宋_GB2312"/>
          <w:color w:val="auto"/>
          <w:sz w:val="32"/>
          <w:szCs w:val="32"/>
          <w:lang w:val="en-US" w:eastAsia="zh-CN"/>
        </w:rPr>
        <w:t>%，取得了突破性进展；</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rPr>
        <w:t>楼宇空调、充换电、用户侧储能、数据中心（柴发）、分布式三联供、非连续生产等6大类资源。</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2023 年，</w:t>
      </w:r>
      <w:r>
        <w:rPr>
          <w:rFonts w:hint="eastAsia" w:ascii="仿宋_GB2312" w:hAnsi="仿宋_GB2312" w:cs="仿宋_GB2312"/>
          <w:color w:val="auto"/>
          <w:sz w:val="32"/>
          <w:szCs w:val="32"/>
          <w:lang w:eastAsia="zh-CN"/>
        </w:rPr>
        <w:t>共计</w:t>
      </w:r>
      <w:r>
        <w:rPr>
          <w:rFonts w:hint="eastAsia" w:ascii="仿宋_GB2312" w:hAnsi="仿宋_GB2312" w:eastAsia="仿宋_GB2312" w:cs="仿宋_GB2312"/>
          <w:color w:val="auto"/>
          <w:sz w:val="32"/>
          <w:szCs w:val="32"/>
        </w:rPr>
        <w:t>调用6次</w:t>
      </w:r>
      <w:r>
        <w:rPr>
          <w:rFonts w:hint="eastAsia" w:ascii="仿宋_GB2312" w:hAnsi="仿宋_GB2312" w:cs="仿宋_GB2312"/>
          <w:color w:val="auto"/>
          <w:sz w:val="32"/>
          <w:szCs w:val="32"/>
          <w:lang w:eastAsia="zh-CN"/>
        </w:rPr>
        <w:t>需求响应</w:t>
      </w:r>
      <w:r>
        <w:rPr>
          <w:rFonts w:hint="eastAsia" w:ascii="仿宋_GB2312" w:hAnsi="仿宋_GB2312" w:eastAsia="仿宋_GB2312" w:cs="仿宋_GB2312"/>
          <w:color w:val="auto"/>
          <w:sz w:val="32"/>
          <w:szCs w:val="32"/>
        </w:rPr>
        <w:t>，其中削峰 5次，填谷 1次，单次调用最大响应32.4万千瓦，累计响应电量132.5万千瓦时。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2、智能电表推广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上海电网坚持智能电表全覆盖、全采集的目标，2023年智能电表覆盖率保持100%，智能电表采集成功率99.68%，智能电表数据频度15分钟/次，为用户灵活参与市场调节提供了坚实的技术支撑。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3、电力电量节约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海电网积极采取技术、经济、管理和服务措施，促进用户提高能源利用效率，2023年节约电量指标为0.46%，年节约电力指标为0.43%，完成国家关于电网企业当年电力、电量节约指标不低于其售电营业区内上年最大用电负荷的 0.3%、上年售电量的 0.3%的指标要求。</w:t>
      </w:r>
    </w:p>
    <w:p>
      <w:pPr>
        <w:rPr>
          <w:rFonts w:hint="default" w:ascii="Times New Roman" w:hAnsi="Times New Roman" w:eastAsia="方正小标宋简体" w:cs="Times New Roman"/>
          <w:b w:val="0"/>
          <w:bCs w:val="0"/>
          <w:color w:val="auto"/>
          <w:sz w:val="36"/>
          <w:szCs w:val="36"/>
          <w:lang w:val="en-US" w:eastAsia="zh-CN"/>
        </w:rPr>
      </w:pPr>
    </w:p>
    <w:p/>
    <w:p>
      <w:pPr>
        <w:keepNext w:val="0"/>
        <w:keepLines w:val="0"/>
        <w:pageBreakBefore w:val="0"/>
        <w:widowControl w:val="0"/>
        <w:kinsoku/>
        <w:wordWrap/>
        <w:overflowPunct/>
        <w:topLinePunct w:val="0"/>
        <w:autoSpaceDE/>
        <w:bidi w:val="0"/>
        <w:adjustRightInd w:val="0"/>
        <w:snapToGrid/>
        <w:spacing w:before="0" w:beforeLines="0" w:after="0" w:afterLines="0" w:line="240" w:lineRule="auto"/>
        <w:ind w:right="0" w:rightChars="0"/>
        <w:jc w:val="both"/>
        <w:textAlignment w:val="auto"/>
        <w:outlineLvl w:val="9"/>
        <w:rPr>
          <w:rFonts w:hint="eastAsia" w:ascii="仿宋_GB2312" w:hAnsi="仿宋_GB2312" w:cs="仿宋_GB2312"/>
          <w:szCs w:val="32"/>
          <w:lang w:val="en-US" w:eastAsia="zh-CN"/>
        </w:rPr>
      </w:pPr>
    </w:p>
    <w:p>
      <w:pPr>
        <w:keepNext w:val="0"/>
        <w:keepLines w:val="0"/>
        <w:pageBreakBefore w:val="0"/>
        <w:widowControl w:val="0"/>
        <w:kinsoku/>
        <w:wordWrap/>
        <w:overflowPunct/>
        <w:topLinePunct w:val="0"/>
        <w:autoSpaceDE/>
        <w:autoSpaceDN w:val="0"/>
        <w:bidi w:val="0"/>
        <w:adjustRightInd w:val="0"/>
        <w:snapToGrid/>
        <w:spacing w:before="0" w:beforeLines="0" w:after="0" w:afterLines="0" w:line="240" w:lineRule="auto"/>
        <w:ind w:right="0" w:right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numPr>
          <w:ilvl w:val="0"/>
          <w:numId w:val="0"/>
        </w:numPr>
        <w:kinsoku/>
        <w:wordWrap/>
        <w:overflowPunct/>
        <w:topLinePunct w:val="0"/>
        <w:autoSpaceDE/>
        <w:autoSpaceDN w:val="0"/>
        <w:bidi w:val="0"/>
        <w:adjustRightInd w:val="0"/>
        <w:snapToGrid/>
        <w:spacing w:before="0" w:beforeLines="0" w:after="0" w:afterLines="0" w:line="240" w:lineRule="auto"/>
        <w:ind w:right="0" w:rightChars="0"/>
        <w:jc w:val="left"/>
        <w:textAlignment w:val="auto"/>
        <w:outlineLvl w:val="9"/>
        <w:rPr>
          <w:rFonts w:hint="eastAsia" w:ascii="仿宋_GB2312" w:hAnsi="仿宋_GB2312" w:eastAsia="仿宋_GB2312" w:cs="仿宋_GB2312"/>
          <w:position w:val="-46"/>
          <w:lang w:eastAsia="zh-CN"/>
        </w:rPr>
      </w:pPr>
    </w:p>
    <w:tbl>
      <w:tblPr>
        <w:tblStyle w:val="4"/>
        <w:tblpPr w:leftFromText="181" w:rightFromText="181" w:vertAnchor="page" w:horzAnchor="page" w:tblpX="1727" w:tblpY="13927"/>
        <w:tblOverlap w:val="never"/>
        <w:tblW w:w="0" w:type="auto"/>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5191"/>
        <w:gridCol w:w="3653"/>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trPr>
        <w:tc>
          <w:tcPr>
            <w:tcW w:w="5191" w:type="dxa"/>
            <w:tcBorders>
              <w:top w:val="single" w:color="auto" w:sz="6" w:space="0"/>
              <w:bottom w:val="single" w:color="auto" w:sz="8" w:space="0"/>
            </w:tcBorders>
            <w:noWrap w:val="0"/>
            <w:vAlign w:val="center"/>
          </w:tcPr>
          <w:p>
            <w:pPr>
              <w:keepNext w:val="0"/>
              <w:keepLines w:val="0"/>
              <w:pageBreakBefore w:val="0"/>
              <w:widowControl w:val="0"/>
              <w:kinsoku/>
              <w:overflowPunct/>
              <w:topLinePunct w:val="0"/>
              <w:autoSpaceDE/>
              <w:autoSpaceDN w:val="0"/>
              <w:bidi w:val="0"/>
              <w:spacing w:line="240" w:lineRule="auto"/>
              <w:ind w:firstLine="274" w:firstLineChars="100"/>
              <w:jc w:val="left"/>
              <w:textAlignment w:val="auto"/>
              <w:outlineLvl w:val="9"/>
              <w:rPr>
                <w:rFonts w:hint="eastAsia" w:ascii="仿宋_GB2312" w:hAnsi="仿宋_GB2312" w:eastAsia="仿宋_GB2312" w:cs="仿宋_GB2312"/>
                <w:sz w:val="28"/>
                <w:szCs w:val="28"/>
                <w:lang w:eastAsia="zh-CN"/>
              </w:rPr>
            </w:pPr>
            <mc:AlternateContent>
              <mc:Choice Requires="wpsCustomData">
                <wpsCustomData:docfieldStart id="0" docfieldname="印发机关" hidden="false" print="true" readonly="false" index="9"/>
              </mc:Choice>
            </mc:AlternateContent>
            <w:r>
              <w:rPr>
                <w:rFonts w:hint="eastAsia" w:ascii="仿宋_GB2312" w:hAnsi="仿宋_GB2312" w:cs="仿宋_GB2312"/>
                <w:sz w:val="28"/>
                <w:szCs w:val="28"/>
                <w:lang w:eastAsia="zh-CN"/>
              </w:rPr>
              <w:t>上海市经济和信息化委员会办公室</w:t>
            </w:r>
            <mc:AlternateContent>
              <mc:Choice Requires="wpsCustomData">
                <wpsCustomData:docfieldEnd id="0"/>
              </mc:Choice>
            </mc:AlternateContent>
          </w:p>
        </w:tc>
        <w:tc>
          <w:tcPr>
            <w:tcW w:w="3653" w:type="dxa"/>
            <w:tcBorders>
              <w:top w:val="single" w:color="auto" w:sz="6" w:space="0"/>
              <w:bottom w:val="single" w:color="auto" w:sz="8" w:space="0"/>
            </w:tcBorders>
            <w:noWrap w:val="0"/>
            <w:vAlign w:val="center"/>
          </w:tcPr>
          <w:p>
            <w:pPr>
              <w:keepNext w:val="0"/>
              <w:keepLines w:val="0"/>
              <w:pageBreakBefore w:val="0"/>
              <w:widowControl w:val="0"/>
              <w:kinsoku/>
              <w:overflowPunct/>
              <w:topLinePunct w:val="0"/>
              <w:autoSpaceDE/>
              <w:autoSpaceDN w:val="0"/>
              <w:bidi w:val="0"/>
              <w:spacing w:line="240" w:lineRule="auto"/>
              <w:ind w:right="314" w:rightChars="100"/>
              <w:jc w:val="right"/>
              <w:textAlignment w:val="auto"/>
              <w:outlineLvl w:val="9"/>
              <w:rPr>
                <w:rFonts w:hint="eastAsia" w:ascii="仿宋_GB2312" w:hAnsi="仿宋_GB2312" w:eastAsia="仿宋_GB2312" w:cs="仿宋_GB2312"/>
                <w:sz w:val="28"/>
                <w:szCs w:val="28"/>
              </w:rPr>
            </w:pPr>
            <mc:AlternateContent>
              <mc:Choice Requires="wpsCustomData">
                <wpsCustomData:docfieldStart id="1" docfieldname="印发日期" hidden="false" print="true" readonly="false" index="10"/>
              </mc:Choice>
            </mc:AlternateContent>
            <w:r>
              <w:rPr>
                <w:rFonts w:hint="eastAsia" w:ascii="仿宋_GB2312" w:hAnsi="仿宋_GB2312" w:cs="仿宋_GB2312"/>
                <w:sz w:val="28"/>
                <w:szCs w:val="28"/>
                <w:lang w:eastAsia="zh-CN"/>
              </w:rPr>
              <w:t>2024年4月30日</w:t>
            </w:r>
            <mc:AlternateContent>
              <mc:Choice Requires="wpsCustomData">
                <wpsCustomData:docfieldEnd id="1"/>
              </mc:Choice>
            </mc:AlternateContent>
            <w:r>
              <w:rPr>
                <w:rFonts w:hint="eastAsia" w:ascii="仿宋_GB2312" w:hAnsi="仿宋_GB2312" w:eastAsia="仿宋_GB2312" w:cs="仿宋_GB2312"/>
                <w:sz w:val="28"/>
                <w:szCs w:val="28"/>
              </w:rPr>
              <w:t>印发</w:t>
            </w: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79" w:hRule="exact"/>
        </w:trPr>
        <w:tc>
          <w:tcPr>
            <w:tcW w:w="5191" w:type="dxa"/>
            <w:tcBorders>
              <w:top w:val="single" w:color="auto" w:sz="8" w:space="0"/>
              <w:bottom w:val="nil"/>
            </w:tcBorders>
            <w:noWrap w:val="0"/>
            <w:vAlign w:val="top"/>
          </w:tcPr>
          <w:p>
            <w:pPr>
              <w:keepNext w:val="0"/>
              <w:keepLines w:val="0"/>
              <w:pageBreakBefore w:val="0"/>
              <w:widowControl w:val="0"/>
              <w:kinsoku/>
              <w:overflowPunct/>
              <w:topLinePunct w:val="0"/>
              <w:autoSpaceDE/>
              <w:autoSpaceDN w:val="0"/>
              <w:bidi w:val="0"/>
              <w:spacing w:line="240" w:lineRule="auto"/>
              <w:jc w:val="left"/>
              <w:textAlignment w:val="auto"/>
              <w:outlineLvl w:val="9"/>
              <w:rPr>
                <w:rFonts w:hint="eastAsia" w:ascii="仿宋" w:hAnsi="仿宋" w:eastAsia="仿宋" w:cs="仿宋"/>
                <w:sz w:val="28"/>
                <w:szCs w:val="28"/>
              </w:rPr>
            </w:pPr>
          </w:p>
        </w:tc>
        <w:tc>
          <w:tcPr>
            <w:tcW w:w="3653" w:type="dxa"/>
            <w:tcBorders>
              <w:top w:val="single" w:color="auto" w:sz="8" w:space="0"/>
              <w:bottom w:val="nil"/>
            </w:tcBorders>
            <w:noWrap w:val="0"/>
            <w:vAlign w:val="top"/>
          </w:tcPr>
          <w:p>
            <w:pPr>
              <w:keepNext w:val="0"/>
              <w:keepLines w:val="0"/>
              <w:pageBreakBefore w:val="0"/>
              <w:widowControl w:val="0"/>
              <w:kinsoku/>
              <w:overflowPunct/>
              <w:topLinePunct w:val="0"/>
              <w:autoSpaceDE/>
              <w:autoSpaceDN w:val="0"/>
              <w:bidi w:val="0"/>
              <w:spacing w:line="240" w:lineRule="auto"/>
              <w:ind w:right="314" w:rightChars="100"/>
              <w:jc w:val="right"/>
              <w:textAlignment w:val="auto"/>
              <w:outlineLvl w:val="9"/>
              <w:rPr>
                <w:rFonts w:hint="eastAsia" w:ascii="仿宋" w:hAnsi="仿宋" w:eastAsia="仿宋" w:cs="仿宋"/>
                <w:szCs w:val="32"/>
              </w:rPr>
            </w:pPr>
          </w:p>
          <w:p>
            <w:pPr>
              <w:keepNext w:val="0"/>
              <w:keepLines w:val="0"/>
              <w:pageBreakBefore w:val="0"/>
              <w:widowControl w:val="0"/>
              <w:kinsoku/>
              <w:overflowPunct/>
              <w:topLinePunct w:val="0"/>
              <w:autoSpaceDE/>
              <w:autoSpaceDN w:val="0"/>
              <w:bidi w:val="0"/>
              <w:spacing w:line="240" w:lineRule="auto"/>
              <w:ind w:right="314" w:rightChars="100"/>
              <w:jc w:val="right"/>
              <w:textAlignment w:val="auto"/>
              <w:outlineLvl w:val="9"/>
              <w:rPr>
                <w:rFonts w:hint="eastAsia" w:ascii="仿宋" w:hAnsi="仿宋" w:eastAsia="仿宋" w:cs="仿宋"/>
                <w:sz w:val="28"/>
                <w:szCs w:val="28"/>
              </w:rPr>
            </w:pPr>
          </w:p>
        </w:tc>
      </w:tr>
    </w:tbl>
    <w:p/>
    <w:sectPr>
      <w:headerReference r:id="rId5" w:type="first"/>
      <w:footerReference r:id="rId8" w:type="first"/>
      <w:footerReference r:id="rId6" w:type="default"/>
      <w:footerReference r:id="rId7" w:type="even"/>
      <w:pgSz w:w="11906" w:h="16838"/>
      <w:pgMar w:top="1967" w:right="1474" w:bottom="1899" w:left="1588" w:header="851" w:footer="1049" w:gutter="0"/>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afterLines="220" w:line="432" w:lineRule="auto"/>
      <w:ind w:left="308" w:leftChars="100"/>
      <w:rPr>
        <w:rFonts w:hint="eastAsia" w:ascii="仿宋_GB2312"/>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rPr>
                              <w:rFonts w:hint="eastAsia" w:ascii="SimSun" w:eastAsia="SimSun"/>
                              <w:sz w:val="28"/>
                              <w:szCs w:val="28"/>
                              <w:lang w:eastAsia="zh-CN"/>
                            </w:rPr>
                          </w:pPr>
                          <w:r>
                            <w:rPr>
                              <w:rFonts w:hint="eastAsia" w:ascii="SimSun" w:eastAsia="SimSun"/>
                              <w:sz w:val="28"/>
                              <w:szCs w:val="28"/>
                              <w:lang w:eastAsia="zh-CN"/>
                            </w:rPr>
                            <w:t xml:space="preserve">— </w:t>
                          </w:r>
                          <w:r>
                            <w:rPr>
                              <w:rFonts w:hint="eastAsia" w:ascii="SimSun" w:eastAsia="SimSun"/>
                              <w:sz w:val="28"/>
                              <w:szCs w:val="28"/>
                              <w:lang w:eastAsia="zh-CN"/>
                            </w:rPr>
                            <w:fldChar w:fldCharType="begin"/>
                          </w:r>
                          <w:r>
                            <w:rPr>
                              <w:rFonts w:hint="eastAsia" w:ascii="SimSun" w:eastAsia="SimSun"/>
                              <w:sz w:val="28"/>
                              <w:szCs w:val="28"/>
                              <w:lang w:eastAsia="zh-CN"/>
                            </w:rPr>
                            <w:instrText xml:space="preserve"> PAGE  \* MERGEFORMAT </w:instrText>
                          </w:r>
                          <w:r>
                            <w:rPr>
                              <w:rFonts w:hint="eastAsia" w:ascii="SimSun" w:eastAsia="SimSun"/>
                              <w:sz w:val="28"/>
                              <w:szCs w:val="28"/>
                              <w:lang w:eastAsia="zh-CN"/>
                            </w:rPr>
                            <w:fldChar w:fldCharType="separate"/>
                          </w:r>
                          <w:r>
                            <w:rPr>
                              <w:rFonts w:hint="eastAsia" w:ascii="SimSun" w:eastAsia="SimSun"/>
                              <w:sz w:val="28"/>
                              <w:szCs w:val="28"/>
                              <w:lang w:eastAsia="zh-CN"/>
                            </w:rPr>
                            <w:t>1</w:t>
                          </w:r>
                          <w:r>
                            <w:rPr>
                              <w:rFonts w:hint="eastAsia" w:ascii="SimSun" w:eastAsia="SimSun"/>
                              <w:sz w:val="28"/>
                              <w:szCs w:val="28"/>
                              <w:lang w:eastAsia="zh-CN"/>
                            </w:rPr>
                            <w:fldChar w:fldCharType="end"/>
                          </w:r>
                          <w:r>
                            <w:rPr>
                              <w:rFonts w:hint="eastAsia" w:ascii="SimSun" w:eastAsia="SimSun"/>
                              <w:sz w:val="28"/>
                              <w:szCs w:val="28"/>
                              <w:lang w:eastAsia="zh-CN"/>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M6MTnW6AQAAWwMAAA4AAAAAAAAAAQAgAAAAOAEA&#10;AGRycy9lMm9Eb2MueG1sUEsFBgAAAAAGAAYAWQEAAGQFAAAAAA==&#10;">
              <v:path/>
              <v:fill on="f" focussize="0,0"/>
              <v:stroke on="f" weight="1.25pt"/>
              <v:imagedata o:title=""/>
              <o:lock v:ext="edit" aspectratio="f"/>
              <v:textbox inset="0mm,0mm,0mm,0mm" style="mso-fit-shape-to-text:t;">
                <w:txbxContent>
                  <w:p>
                    <w:pPr>
                      <w:rPr>
                        <w:rFonts w:hint="eastAsia" w:ascii="SimSun" w:eastAsia="SimSun"/>
                        <w:sz w:val="28"/>
                        <w:szCs w:val="28"/>
                        <w:lang w:eastAsia="zh-CN"/>
                      </w:rPr>
                    </w:pPr>
                    <w:r>
                      <w:rPr>
                        <w:rFonts w:hint="eastAsia" w:ascii="SimSun" w:eastAsia="SimSun"/>
                        <w:sz w:val="28"/>
                        <w:szCs w:val="28"/>
                        <w:lang w:eastAsia="zh-CN"/>
                      </w:rPr>
                      <w:t xml:space="preserve">— </w:t>
                    </w:r>
                    <w:r>
                      <w:rPr>
                        <w:rFonts w:hint="eastAsia" w:ascii="SimSun" w:eastAsia="SimSun"/>
                        <w:sz w:val="28"/>
                        <w:szCs w:val="28"/>
                        <w:lang w:eastAsia="zh-CN"/>
                      </w:rPr>
                      <w:fldChar w:fldCharType="begin"/>
                    </w:r>
                    <w:r>
                      <w:rPr>
                        <w:rFonts w:hint="eastAsia" w:ascii="SimSun" w:eastAsia="SimSun"/>
                        <w:sz w:val="28"/>
                        <w:szCs w:val="28"/>
                        <w:lang w:eastAsia="zh-CN"/>
                      </w:rPr>
                      <w:instrText xml:space="preserve"> PAGE  \* MERGEFORMAT </w:instrText>
                    </w:r>
                    <w:r>
                      <w:rPr>
                        <w:rFonts w:hint="eastAsia" w:ascii="SimSun" w:eastAsia="SimSun"/>
                        <w:sz w:val="28"/>
                        <w:szCs w:val="28"/>
                        <w:lang w:eastAsia="zh-CN"/>
                      </w:rPr>
                      <w:fldChar w:fldCharType="separate"/>
                    </w:r>
                    <w:r>
                      <w:rPr>
                        <w:rFonts w:hint="eastAsia" w:ascii="SimSun" w:eastAsia="SimSun"/>
                        <w:sz w:val="28"/>
                        <w:szCs w:val="28"/>
                        <w:lang w:eastAsia="zh-CN"/>
                      </w:rPr>
                      <w:t>1</w:t>
                    </w:r>
                    <w:r>
                      <w:rPr>
                        <w:rFonts w:hint="eastAsia" w:ascii="SimSun" w:eastAsia="SimSun"/>
                        <w:sz w:val="28"/>
                        <w:szCs w:val="28"/>
                        <w:lang w:eastAsia="zh-CN"/>
                      </w:rPr>
                      <w:fldChar w:fldCharType="end"/>
                    </w:r>
                    <w:r>
                      <w:rPr>
                        <w:rFonts w:hint="eastAsia" w:ascii="SimSun" w:eastAsia="SimSu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124"/>
        <w:tab w:val="clear" w:pos="4153"/>
      </w:tabs>
      <w:spacing w:line="473" w:lineRule="auto"/>
      <w:ind w:left="308" w:leftChars="100"/>
      <w:jc w:val="left"/>
      <w:rPr>
        <w:rStyle w:val="6"/>
        <w:rFonts w:hint="eastAsia" w:ascii="宋体" w:hAnsi="宋体" w:eastAsia="宋体"/>
        <w:position w:val="-28"/>
        <w:sz w:val="28"/>
      </w:rPr>
    </w:pPr>
    <w:r>
      <w:rPr>
        <w:rStyle w:val="6"/>
        <w:rFonts w:hint="eastAsia" w:ascii="宋体" w:hAnsi="宋体" w:eastAsia="宋体"/>
        <w:position w:val="-28"/>
        <w:sz w:val="28"/>
      </w:rPr>
      <w:t xml:space="preserve">— </w:t>
    </w:r>
    <w:r>
      <w:rPr>
        <w:rFonts w:hint="eastAsia" w:ascii="宋体" w:hAnsi="宋体" w:eastAsia="宋体"/>
        <w:position w:val="-28"/>
        <w:sz w:val="28"/>
      </w:rPr>
      <w:fldChar w:fldCharType="begin"/>
    </w:r>
    <w:r>
      <w:rPr>
        <w:rStyle w:val="6"/>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6"/>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6"/>
        <w:rFonts w:hint="eastAsia" w:ascii="宋体" w:hAnsi="宋体" w:eastAsia="宋体"/>
        <w:position w:val="-28"/>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73D6F"/>
    <w:rsid w:val="FE773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2024-04-30T16:20:00Z</dcterms:created>
  <dc:creator>user</dc:creator>
  <cp:lastModifiedBy>user</cp:lastModifiedBy>
  <dcterms:modified xsi:type="dcterms:W3CDTF">2024-04-30T16:23:05Z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