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336" w:lineRule="auto"/>
        <w:rPr>
          <w:rFonts w:ascii="黑体" w:eastAsia="黑体"/>
          <w:szCs w:val="32"/>
        </w:rPr>
      </w:pPr>
    </w:p>
    <w:p>
      <w:pPr>
        <w:overflowPunct w:val="0"/>
        <w:adjustRightInd w:val="0"/>
        <w:snapToGrid w:val="0"/>
        <w:spacing w:line="336" w:lineRule="auto"/>
        <w:rPr>
          <w:rFonts w:ascii="黑体" w:eastAsia="黑体"/>
          <w:szCs w:val="32"/>
        </w:rPr>
      </w:pPr>
    </w:p>
    <w:p>
      <w:pPr>
        <w:overflowPunct w:val="0"/>
        <w:adjustRightInd w:val="0"/>
        <w:snapToGrid w:val="0"/>
        <w:spacing w:line="336" w:lineRule="auto"/>
        <w:rPr>
          <w:rFonts w:ascii="黑体" w:eastAsia="黑体"/>
          <w:szCs w:val="32"/>
        </w:rPr>
      </w:pPr>
    </w:p>
    <w:p>
      <w:pPr>
        <w:overflowPunct w:val="0"/>
        <w:adjustRightInd w:val="0"/>
        <w:snapToGrid w:val="0"/>
        <w:spacing w:line="100" w:lineRule="exact"/>
        <w:rPr>
          <w:rFonts w:ascii="黑体" w:eastAsia="黑体"/>
          <w:szCs w:val="32"/>
        </w:rPr>
      </w:pPr>
    </w:p>
    <w:p>
      <w:pPr>
        <w:overflowPunct w:val="0"/>
        <w:adjustRightInd w:val="0"/>
        <w:snapToGrid w:val="0"/>
        <w:ind w:left="-57"/>
        <w:jc w:val="center"/>
        <w:rPr>
          <w:rFonts w:ascii="方正小标宋简体" w:hAnsi="宋体" w:eastAsia="方正小标宋简体"/>
          <w:color w:val="FF0000"/>
          <w:sz w:val="72"/>
          <w:szCs w:val="72"/>
        </w:rPr>
      </w:pPr>
      <w:r>
        <w:rPr>
          <w:rFonts w:hint="eastAsia" w:ascii="方正小标宋简体" w:hAnsi="宋体" w:eastAsia="方正小标宋简体"/>
          <w:color w:val="FF0000"/>
          <w:sz w:val="72"/>
          <w:szCs w:val="72"/>
        </w:rPr>
        <w:t>上海市市场监督管理局文件</w:t>
      </w:r>
    </w:p>
    <w:p>
      <w:pPr>
        <w:tabs>
          <w:tab w:val="left" w:pos="790"/>
        </w:tabs>
        <w:overflowPunct w:val="0"/>
        <w:adjustRightInd w:val="0"/>
        <w:snapToGrid w:val="0"/>
        <w:spacing w:line="252" w:lineRule="auto"/>
        <w:jc w:val="center"/>
        <w:rPr>
          <w:rFonts w:ascii="黑体" w:eastAsia="黑体"/>
          <w:szCs w:val="32"/>
        </w:rPr>
      </w:pPr>
    </w:p>
    <w:p>
      <w:pPr>
        <w:tabs>
          <w:tab w:val="left" w:pos="790"/>
        </w:tabs>
        <w:overflowPunct w:val="0"/>
        <w:adjustRightInd w:val="0"/>
        <w:snapToGrid w:val="0"/>
        <w:spacing w:line="252" w:lineRule="auto"/>
        <w:jc w:val="center"/>
        <w:rPr>
          <w:rFonts w:ascii="黑体" w:eastAsia="黑体"/>
          <w:szCs w:val="32"/>
        </w:rPr>
      </w:pPr>
    </w:p>
    <w:p>
      <w:pPr>
        <w:tabs>
          <w:tab w:val="left" w:pos="790"/>
        </w:tabs>
        <w:overflowPunct w:val="0"/>
        <w:adjustRightInd w:val="0"/>
        <w:snapToGrid w:val="0"/>
        <w:spacing w:line="336" w:lineRule="auto"/>
        <w:jc w:val="center"/>
        <w:rPr>
          <w:szCs w:val="32"/>
        </w:rPr>
      </w:pPr>
      <w:r>
        <w:rPr>
          <w:szCs w:val="3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386080</wp:posOffset>
                </wp:positionV>
                <wp:extent cx="5615940" cy="0"/>
                <wp:effectExtent l="0" t="9525" r="3810" b="952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.05pt;margin-top:30.4pt;height:0pt;width:442.2pt;z-index:251658240;mso-width-relative:page;mso-height-relative:page;" filled="f" stroked="t" coordsize="21600,21600" o:gfxdata="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IgOgsDUAAAA&#10;BgEAAA8AAAAAAAAAAQAgAAAAOAAAAGRycy9kb3ducmV2LnhtbFBLAQIUABQAAAAIAIdO4kBlq/V9&#10;0gEAAJEDAAAOAAAAAAAAAAEAIAAAADkBAABkcnMvZTJvRG9jLnhtbFBLBQYAAAAABgAGAFkBAAB9&#10;BQAAAAA=&#10;">
                <v:fill on="f" focussize="0,0"/>
                <v:stroke weight="1.5pt" color="#FF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/>
          <w:szCs w:val="32"/>
        </w:rPr>
        <w:t>沪市监竞争〔202</w:t>
      </w:r>
      <w:r>
        <w:rPr>
          <w:szCs w:val="32"/>
        </w:rPr>
        <w:t>3</w:t>
      </w:r>
      <w:r>
        <w:rPr>
          <w:rFonts w:hint="eastAsia"/>
          <w:szCs w:val="32"/>
        </w:rPr>
        <w:t>〕117号</w:t>
      </w:r>
    </w:p>
    <w:p>
      <w:pPr>
        <w:tabs>
          <w:tab w:val="left" w:pos="790"/>
        </w:tabs>
        <w:overflowPunct w:val="0"/>
        <w:adjustRightInd w:val="0"/>
        <w:snapToGrid w:val="0"/>
        <w:spacing w:line="336" w:lineRule="auto"/>
        <w:jc w:val="center"/>
        <w:rPr>
          <w:szCs w:val="30"/>
        </w:rPr>
      </w:pPr>
    </w:p>
    <w:p>
      <w:pPr>
        <w:tabs>
          <w:tab w:val="left" w:pos="790"/>
        </w:tabs>
        <w:overflowPunct w:val="0"/>
        <w:adjustRightInd w:val="0"/>
        <w:snapToGrid w:val="0"/>
        <w:spacing w:line="336" w:lineRule="auto"/>
        <w:jc w:val="center"/>
        <w:rPr>
          <w:szCs w:val="30"/>
        </w:rPr>
      </w:pPr>
    </w:p>
    <w:p>
      <w:pPr>
        <w:tabs>
          <w:tab w:val="left" w:pos="790"/>
        </w:tabs>
        <w:overflowPunct w:val="0"/>
        <w:adjustRightInd w:val="0"/>
        <w:snapToGrid w:val="0"/>
        <w:spacing w:line="228" w:lineRule="auto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上海市市场监督管理局关于公布</w:t>
      </w:r>
    </w:p>
    <w:p>
      <w:pPr>
        <w:tabs>
          <w:tab w:val="left" w:pos="790"/>
        </w:tabs>
        <w:overflowPunct w:val="0"/>
        <w:adjustRightInd w:val="0"/>
        <w:snapToGrid w:val="0"/>
        <w:spacing w:line="228" w:lineRule="auto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上海市商业秘密保护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创新试点园</w:t>
      </w:r>
      <w:r>
        <w:rPr>
          <w:rFonts w:hint="eastAsia" w:ascii="方正小标宋简体" w:hAnsi="宋体" w:eastAsia="方正小标宋简体"/>
          <w:sz w:val="44"/>
          <w:szCs w:val="44"/>
        </w:rPr>
        <w:t>区、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单位（</w:t>
      </w:r>
      <w:r>
        <w:rPr>
          <w:rFonts w:hint="eastAsia" w:ascii="方正小标宋简体" w:hAnsi="宋体" w:eastAsia="方正小标宋简体"/>
          <w:sz w:val="44"/>
          <w:szCs w:val="44"/>
        </w:rPr>
        <w:t>站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宋体" w:eastAsia="方正小标宋简体"/>
          <w:sz w:val="44"/>
          <w:szCs w:val="44"/>
        </w:rPr>
        <w:t>点）（第一批）名单的通知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rPr>
          <w:rFonts w:hAnsi="宋体"/>
          <w:szCs w:val="30"/>
        </w:rPr>
      </w:pPr>
      <w:r>
        <w:rPr>
          <w:rFonts w:hint="eastAsia" w:hAnsi="宋体"/>
          <w:szCs w:val="30"/>
        </w:rPr>
        <w:t>各区市场监管局，临港新片区市场监管局，市局执法总队、机场分局：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szCs w:val="30"/>
        </w:rPr>
      </w:pPr>
      <w:r>
        <w:rPr>
          <w:rFonts w:hint="eastAsia" w:hAnsi="宋体"/>
          <w:szCs w:val="30"/>
        </w:rPr>
        <w:t>为贯彻落实市场监管总局关于加强商业秘密保护工作要求，推进商业秘密保护工作改革创新，推动经济创新发展、高质量发展，市市场监管局在全市范围内组织开展了市级商业秘密保护</w:t>
      </w:r>
      <w:r>
        <w:rPr>
          <w:rFonts w:hint="eastAsia" w:hAnsi="宋体"/>
          <w:szCs w:val="30"/>
          <w:lang w:eastAsia="zh-CN"/>
        </w:rPr>
        <w:t>创新试点园区、单位（站、点）评定</w:t>
      </w:r>
      <w:bookmarkStart w:id="0" w:name="_GoBack"/>
      <w:bookmarkEnd w:id="0"/>
      <w:r>
        <w:rPr>
          <w:rFonts w:hint="eastAsia" w:hAnsi="宋体"/>
          <w:szCs w:val="30"/>
        </w:rPr>
        <w:t>工作。经各区市场监管局推荐申报、专家评选、综合评定、市市场监管局局长办公会议审议，确定了上海市商业秘密保护</w:t>
      </w:r>
      <w:r>
        <w:rPr>
          <w:rFonts w:hint="eastAsia" w:hAnsi="宋体"/>
          <w:szCs w:val="30"/>
          <w:lang w:eastAsia="zh-CN"/>
        </w:rPr>
        <w:t>创新试点园区、单位（站、点）</w:t>
      </w:r>
      <w:r>
        <w:rPr>
          <w:rFonts w:hint="eastAsia" w:hAnsi="宋体"/>
          <w:szCs w:val="30"/>
        </w:rPr>
        <w:t>（第一批）名单（详见附件），现予以公布。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szCs w:val="30"/>
        </w:rPr>
      </w:pPr>
      <w:r>
        <w:rPr>
          <w:rFonts w:hint="eastAsia" w:hAnsi="宋体"/>
          <w:szCs w:val="30"/>
        </w:rPr>
        <w:t>特此通知。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left="1580" w:hanging="956"/>
        <w:rPr>
          <w:rFonts w:hAnsi="宋体"/>
          <w:szCs w:val="30"/>
        </w:rPr>
      </w:pPr>
      <w:r>
        <w:rPr>
          <w:rFonts w:hint="eastAsia" w:hAnsi="宋体"/>
          <w:szCs w:val="30"/>
        </w:rPr>
        <w:t>附件：上海市商业秘密保护</w:t>
      </w:r>
      <w:r>
        <w:rPr>
          <w:rFonts w:hint="eastAsia" w:hAnsi="宋体"/>
          <w:szCs w:val="30"/>
          <w:lang w:eastAsia="zh-CN"/>
        </w:rPr>
        <w:t>创新试点园区、单位（站、点）</w:t>
      </w:r>
      <w:r>
        <w:rPr>
          <w:rFonts w:hint="eastAsia" w:hAnsi="宋体"/>
          <w:szCs w:val="30"/>
        </w:rPr>
        <w:t>（第一批）名单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288" w:lineRule="auto"/>
        <w:ind w:firstLine="624"/>
        <w:rPr>
          <w:rFonts w:hAnsi="宋体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288" w:lineRule="auto"/>
        <w:ind w:firstLine="624"/>
        <w:rPr>
          <w:rFonts w:hAnsi="宋体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288" w:lineRule="auto"/>
        <w:ind w:firstLine="624"/>
        <w:rPr>
          <w:rFonts w:hAnsi="宋体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right="941" w:firstLine="624"/>
        <w:jc w:val="right"/>
        <w:rPr>
          <w:rFonts w:hAnsi="宋体"/>
          <w:szCs w:val="30"/>
        </w:rPr>
      </w:pPr>
      <w:r>
        <w:rPr>
          <w:rFonts w:hint="eastAsia" w:hAnsi="宋体"/>
          <w:szCs w:val="30"/>
        </w:rPr>
        <w:t>上海市市场监督管理局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right="1247" w:firstLine="624"/>
        <w:jc w:val="right"/>
        <w:rPr>
          <w:rFonts w:hAnsi="宋体"/>
          <w:szCs w:val="30"/>
        </w:rPr>
      </w:pPr>
      <w:r>
        <w:rPr>
          <w:rFonts w:hint="eastAsia" w:hAnsi="宋体"/>
          <w:szCs w:val="30"/>
        </w:rPr>
        <w:t>2023年3月16日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szCs w:val="30"/>
        </w:rPr>
      </w:pPr>
      <w:r>
        <w:rPr>
          <w:rFonts w:hint="eastAsia" w:hAnsi="宋体"/>
          <w:szCs w:val="30"/>
        </w:rPr>
        <w:t>（此件公开发布）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rPr>
          <w:rFonts w:ascii="黑体" w:eastAsia="黑体"/>
          <w:szCs w:val="30"/>
        </w:rPr>
      </w:pPr>
      <w:r>
        <w:rPr>
          <w:rFonts w:hint="eastAsia" w:ascii="黑体" w:eastAsia="黑体"/>
          <w:szCs w:val="30"/>
        </w:rPr>
        <w:t>附件</w:t>
      </w:r>
    </w:p>
    <w:p>
      <w:pPr>
        <w:overflowPunct w:val="0"/>
        <w:adjustRightInd w:val="0"/>
        <w:snapToGrid w:val="0"/>
        <w:spacing w:line="336" w:lineRule="auto"/>
        <w:rPr>
          <w:szCs w:val="30"/>
        </w:rPr>
      </w:pPr>
    </w:p>
    <w:p>
      <w:pPr>
        <w:tabs>
          <w:tab w:val="left" w:pos="790"/>
        </w:tabs>
        <w:overflowPunct w:val="0"/>
        <w:adjustRightInd w:val="0"/>
        <w:snapToGrid w:val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上海市商业秘密保护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创新试点园区、单位（站、点）</w:t>
      </w:r>
      <w:r>
        <w:rPr>
          <w:rFonts w:hint="eastAsia" w:ascii="方正小标宋简体" w:hAnsi="宋体" w:eastAsia="方正小标宋简体"/>
          <w:sz w:val="44"/>
          <w:szCs w:val="44"/>
        </w:rPr>
        <w:t>（第一批）名单</w:t>
      </w:r>
    </w:p>
    <w:p>
      <w:pPr>
        <w:tabs>
          <w:tab w:val="left" w:pos="790"/>
          <w:tab w:val="left" w:pos="948"/>
        </w:tabs>
        <w:overflowPunct w:val="0"/>
        <w:adjustRightInd w:val="0"/>
        <w:snapToGrid w:val="0"/>
        <w:spacing w:before="120"/>
        <w:jc w:val="center"/>
        <w:rPr>
          <w:rFonts w:ascii="楷体_GB2312" w:hAnsi="宋体" w:eastAsia="楷体_GB2312"/>
          <w:szCs w:val="30"/>
        </w:rPr>
      </w:pPr>
      <w:r>
        <w:rPr>
          <w:rFonts w:hint="eastAsia" w:ascii="楷体_GB2312" w:hAnsi="宋体" w:eastAsia="楷体_GB2312"/>
          <w:szCs w:val="30"/>
        </w:rPr>
        <w:t>（排名不分先后）</w:t>
      </w:r>
    </w:p>
    <w:p>
      <w:pPr>
        <w:overflowPunct w:val="0"/>
        <w:adjustRightInd w:val="0"/>
        <w:snapToGrid w:val="0"/>
        <w:spacing w:line="336" w:lineRule="auto"/>
        <w:rPr>
          <w:szCs w:val="30"/>
        </w:rPr>
      </w:pPr>
    </w:p>
    <w:p>
      <w:pPr>
        <w:tabs>
          <w:tab w:val="left" w:pos="790"/>
        </w:tabs>
        <w:overflowPunct w:val="0"/>
        <w:adjustRightInd w:val="0"/>
        <w:snapToGrid w:val="0"/>
        <w:spacing w:line="336" w:lineRule="auto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上海市商业秘密保护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创新试点园区</w:t>
      </w:r>
    </w:p>
    <w:tbl>
      <w:tblPr>
        <w:tblStyle w:val="5"/>
        <w:tblW w:w="88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5669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所属区域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上海天地软件创业园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普陀区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张江虹口园智慧健康医疗产业基地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虹口区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大创智创新发展示范区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杨浦区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新杨湾科创园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宝山区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上海市莘庄工业区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闵行区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同济大学国家大学科技园嘉定园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嘉定区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移动智地产业园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青浦区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东方美谷企业集团股份有限公司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奉贤区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上海市工业综合开发区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奉贤区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上海临港产业区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临港新片区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国际创新协同区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临港新片区</w:t>
            </w:r>
          </w:p>
        </w:tc>
      </w:tr>
    </w:tbl>
    <w:p>
      <w:pPr>
        <w:overflowPunct w:val="0"/>
        <w:adjustRightInd w:val="0"/>
        <w:snapToGrid w:val="0"/>
        <w:spacing w:line="336" w:lineRule="auto"/>
        <w:rPr>
          <w:szCs w:val="30"/>
        </w:rPr>
      </w:pPr>
    </w:p>
    <w:p>
      <w:pPr>
        <w:tabs>
          <w:tab w:val="left" w:pos="790"/>
        </w:tabs>
        <w:overflowPunct w:val="0"/>
        <w:adjustRightInd w:val="0"/>
        <w:snapToGrid w:val="0"/>
        <w:spacing w:line="336" w:lineRule="auto"/>
        <w:jc w:val="center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上海市商业秘密保护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创新试点单位（</w:t>
      </w:r>
      <w:r>
        <w:rPr>
          <w:rFonts w:hint="eastAsia" w:ascii="方正小标宋简体" w:hAnsi="宋体" w:eastAsia="方正小标宋简体"/>
          <w:sz w:val="36"/>
          <w:szCs w:val="36"/>
        </w:rPr>
        <w:t>站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）</w:t>
      </w:r>
    </w:p>
    <w:tbl>
      <w:tblPr>
        <w:tblStyle w:val="5"/>
        <w:tblW w:w="88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5669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所属区域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1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上海市锦天城律师事务所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浦东新区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2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上海邦信阳中建中汇律师事务所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黄浦区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3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上海市科普教育展示技术中心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黄浦区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4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北京市汉坤律师事务所上海分所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静安区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5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北京己任（上海）律师事务所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静安区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6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上海蓝盟网络技术有限公司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静安区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7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上海市律师协会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徐汇区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8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博爱星（上海）律师事务所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普陀区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9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上海汉之律师事务所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杨浦区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10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上海市宝山宝智知识产权创新转化研究院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宝山区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11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上海市闵行区知识产权协会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闵行区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12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长知企业（上海）企业服务合伙企业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松江区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13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上海东炬律师事务所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青浦区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14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临港新片区法律服务中心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临港新片区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15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上海段和段（临港新片区）律师事务所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临港新片区</w:t>
            </w:r>
          </w:p>
        </w:tc>
      </w:tr>
    </w:tbl>
    <w:p>
      <w:pPr>
        <w:overflowPunct w:val="0"/>
        <w:adjustRightInd w:val="0"/>
        <w:snapToGrid w:val="0"/>
        <w:spacing w:line="336" w:lineRule="auto"/>
        <w:rPr>
          <w:szCs w:val="30"/>
        </w:rPr>
      </w:pPr>
    </w:p>
    <w:p>
      <w:pPr>
        <w:tabs>
          <w:tab w:val="left" w:pos="790"/>
        </w:tabs>
        <w:overflowPunct w:val="0"/>
        <w:adjustRightInd w:val="0"/>
        <w:snapToGrid w:val="0"/>
        <w:spacing w:line="336" w:lineRule="auto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上海市商业秘密保护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创新试点单位（点）</w:t>
      </w:r>
    </w:p>
    <w:tbl>
      <w:tblPr>
        <w:tblStyle w:val="5"/>
        <w:tblW w:w="88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5669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所属区域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1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咪咕视讯科技有限公司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浦东新区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2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中科新松有限公司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浦东新区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3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亮风台（上海）信息科技有限公司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浦东新区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4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上海上湖信息技术有限公司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浦东新区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5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微创投资控股有限公司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浦东新区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6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蚂蚁区块链科技（上海）有限公司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黄浦区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7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行吟信息科技（上海）有限公司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黄浦区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8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上海陶术生物科技有限公司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静安区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9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上海泰坦科技股份有限公司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徐汇区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10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上海米哈游网络科技股份有限公司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徐汇区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11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星环信息科技（上海）股份有限公司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徐汇区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12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博世（中国）投资有限公司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长宁区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13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上海西井信息科技有限公司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长宁区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14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上海携程商务有限公司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长宁区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15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施耐德电气（中国）有限公司上海分公司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普陀区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16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波克科技股份有限公司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普陀区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17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上海安路信息科技股份有限公司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虹口区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18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上海家化联合股份有限公司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虹口区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19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易保网络技术（上海）有限公司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杨浦区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20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上海挚达科技发展有限公司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杨浦区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21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爱优特空气技术（上海）有限公司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宝山区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22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上海妃鱼网络科技有限公司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宝山区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23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上海尤安建筑设计股份有限公司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宝山区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24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国核自仪系统工程有限公司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闵行区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25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上海正帆科技股份有限公司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闵行区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26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上海景格科技股份有限公司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嘉定区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27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上海同驭汽车科技有限公司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嘉定区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28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上海和辉光电股份有限公司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金山区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29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上海龙创汽车设计股份有限公司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金山区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30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上海安谱实验科技股份有限公司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松江区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31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上海七猫文化传媒有限公司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松江区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32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豪德机械（上海）有限公司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松江区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33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上海熊猫机械（集团）有限公司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青浦区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34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上海金发科技发展有限公司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青浦区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35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上海和黄药业有限公司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奉贤区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36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伽蓝（集团）股份有限公司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奉贤区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37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上海晨光文具股份有限公司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奉贤区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38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中国航发上海商用航空发动机制造有限公司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临港新片区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39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上海临港电力电子研究有限公司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临港新片区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40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上海秦耀航空试验技术有限公司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临港新片区</w:t>
            </w:r>
          </w:p>
        </w:tc>
      </w:tr>
    </w:tbl>
    <w:p>
      <w:pPr>
        <w:overflowPunct w:val="0"/>
        <w:adjustRightInd w:val="0"/>
        <w:snapToGrid w:val="0"/>
        <w:spacing w:line="336" w:lineRule="auto"/>
        <w:rPr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szCs w:val="30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417" w:gutter="0"/>
          <w:cols w:space="0" w:num="1"/>
          <w:docGrid w:type="linesAndChars" w:linePitch="579" w:charSpace="-842"/>
        </w:sectPr>
      </w:pPr>
    </w:p>
    <w:p>
      <w:pPr>
        <w:overflowPunct w:val="0"/>
        <w:adjustRightInd w:val="0"/>
        <w:snapToGrid w:val="0"/>
        <w:spacing w:line="336" w:lineRule="auto"/>
        <w:rPr>
          <w:szCs w:val="30"/>
        </w:rPr>
      </w:pPr>
    </w:p>
    <w:p>
      <w:pPr>
        <w:rPr>
          <w:szCs w:val="30"/>
        </w:rPr>
      </w:pPr>
      <w:r>
        <w:rPr>
          <w:rFonts w:hint="eastAsia"/>
          <w:szCs w:val="30"/>
        </w:rPr>
        <w:br w:type="page"/>
      </w:r>
    </w:p>
    <w:p>
      <w:pPr>
        <w:overflowPunct w:val="0"/>
        <w:adjustRightInd w:val="0"/>
        <w:snapToGrid w:val="0"/>
        <w:spacing w:line="336" w:lineRule="auto"/>
        <w:rPr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szCs w:val="30"/>
        </w:rPr>
      </w:pPr>
    </w:p>
    <w:p>
      <w:pPr>
        <w:overflowPunct w:val="0"/>
        <w:adjustRightInd w:val="0"/>
        <w:snapToGrid w:val="0"/>
        <w:spacing w:after="140" w:line="336" w:lineRule="auto"/>
        <w:rPr>
          <w:szCs w:val="30"/>
        </w:rPr>
      </w:pPr>
    </w:p>
    <w:p>
      <w:pPr>
        <w:overflowPunct w:val="0"/>
        <w:adjustRightInd w:val="0"/>
        <w:snapToGrid w:val="0"/>
        <w:spacing w:line="336" w:lineRule="auto"/>
        <w:ind w:firstLine="284"/>
        <w:rPr>
          <w:rFonts w:hAnsi="宋体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262890</wp:posOffset>
                </wp:positionV>
                <wp:extent cx="5615940" cy="0"/>
                <wp:effectExtent l="0" t="0" r="0" b="0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20.7pt;height:0pt;width:442.2pt;z-index:251667456;mso-width-relative:page;mso-height-relative:page;" filled="f" stroked="t" coordsize="21600,21600" o:gfxdata="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N6AYMdUAAAAG&#10;AQAADwAAAAAAAAABACAAAAA4AAAAZHJzL2Rvd25yZXYueG1sUEsBAhQAFAAAAAgAh07iQAjtC/DQ&#10;AQAAkQMAAA4AAAAAAAAAAQAgAAAAOg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-50165</wp:posOffset>
                </wp:positionV>
                <wp:extent cx="5615940" cy="0"/>
                <wp:effectExtent l="0" t="0" r="0" b="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-3.95pt;height:0pt;width:442.2pt;z-index:251666432;mso-width-relative:page;mso-height-relative:page;" filled="f" stroked="t" coordsize="21600,21600" o:gfxdata="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LILFldYAAAAG&#10;AQAADwAAAAAAAAABACAAAAA4AAAAZHJzL2Rvd25yZXYueG1sUEsBAhQAFAAAAAgAh07iQK5slGHP&#10;AQAAkQMAAA4AAAAAAAAAAQAgAAAAOw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 w:hAnsi="宋体"/>
          <w:sz w:val="28"/>
          <w:szCs w:val="28"/>
        </w:rPr>
        <w:t>上海市市场监督管理局办公室</w:t>
      </w:r>
      <w:r>
        <w:rPr>
          <w:rFonts w:hint="eastAsia" w:hAnsi="宋体"/>
          <w:spacing w:val="-2"/>
          <w:sz w:val="28"/>
          <w:szCs w:val="28"/>
        </w:rPr>
        <w:t xml:space="preserve">               </w:t>
      </w:r>
      <w:r>
        <w:rPr>
          <w:rFonts w:hint="eastAsia" w:hAnsi="宋体"/>
          <w:sz w:val="28"/>
          <w:szCs w:val="28"/>
        </w:rPr>
        <w:t>202</w:t>
      </w:r>
      <w:r>
        <w:rPr>
          <w:rFonts w:hAnsi="宋体"/>
          <w:sz w:val="28"/>
          <w:szCs w:val="28"/>
        </w:rPr>
        <w:t>3</w:t>
      </w:r>
      <w:r>
        <w:rPr>
          <w:rFonts w:hint="eastAsia" w:hAnsi="宋体"/>
          <w:sz w:val="28"/>
          <w:szCs w:val="28"/>
        </w:rPr>
        <w:t xml:space="preserve">年3月17日印发  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12" w:right="312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Fonts w:hint="eastAsia" w:ascii="宋体" w:hAnsi="宋体" w:eastAsia="宋体"/>
        <w:sz w:val="28"/>
        <w:szCs w:val="28"/>
      </w:rPr>
      <w:instrText xml:space="preserve"> PAGE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5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12" w:right="312"/>
      <w:jc w:val="both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Fonts w:hint="eastAsia" w:ascii="宋体" w:hAnsi="宋体" w:eastAsia="宋体"/>
        <w:sz w:val="28"/>
        <w:szCs w:val="28"/>
      </w:rPr>
      <w:instrText xml:space="preserve"> PAGE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4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12" w:right="312"/>
      <w:jc w:val="right"/>
      <w:rPr>
        <w:rFonts w:ascii="宋体" w:hAnsi="宋体" w:eastAsia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12" w:right="312"/>
      <w:jc w:val="both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evenAndOddHeaders w:val="true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278272"/>
    <w:rsid w:val="00236536"/>
    <w:rsid w:val="003A3D79"/>
    <w:rsid w:val="00941166"/>
    <w:rsid w:val="00D46CF6"/>
    <w:rsid w:val="157F94C7"/>
    <w:rsid w:val="6FFFDA49"/>
    <w:rsid w:val="75B2E21E"/>
    <w:rsid w:val="7F2F128B"/>
    <w:rsid w:val="7F5F6339"/>
    <w:rsid w:val="AFEF95EB"/>
    <w:rsid w:val="B7DEEB75"/>
    <w:rsid w:val="CFFB9E10"/>
    <w:rsid w:val="D779306E"/>
    <w:rsid w:val="DBFDCAAF"/>
    <w:rsid w:val="DD2FC609"/>
    <w:rsid w:val="FD2782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1546</Words>
  <Characters>421</Characters>
  <Lines>3</Lines>
  <Paragraphs>3</Paragraphs>
  <TotalTime>3</TotalTime>
  <ScaleCrop>false</ScaleCrop>
  <LinksUpToDate>false</LinksUpToDate>
  <CharactersWithSpaces>1964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2023-03-11T09:34:00Z</dcterms:created>
  <dc:creator>scjuser</dc:creator>
  <cp:lastModifiedBy>scjuser</cp:lastModifiedBy>
  <cp:lastPrinted>2023-03-16T09:21:00Z</cp:lastPrinted>
  <dcterms:modified xsi:type="dcterms:W3CDTF">2024-12-18T17:09:36Z</dcterms:modified>
  <dc:title>上海市市场监督管理局文件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