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00" w:lineRule="exact"/>
        <w:jc w:val="center"/>
        <w:textAlignment w:val="auto"/>
        <w:rPr>
          <w:rFonts w:hint="eastAsia" w:ascii="宋体" w:hAnsi="宋体" w:cs="Times New Roman"/>
          <w:b/>
          <w:bCs/>
          <w:sz w:val="36"/>
          <w:szCs w:val="36"/>
        </w:rPr>
      </w:pPr>
      <w:r>
        <w:rPr>
          <w:rFonts w:hint="eastAsia" w:ascii="宋体" w:hAnsi="宋体" w:cs="Times New Roman"/>
          <w:b/>
          <w:bCs/>
          <w:sz w:val="36"/>
          <w:szCs w:val="36"/>
          <w:lang w:val="en-US" w:eastAsia="zh-CN"/>
        </w:rPr>
        <w:t>陕西南路360弄9-10号地块项目房</w:t>
      </w:r>
      <w:r>
        <w:rPr>
          <w:rFonts w:hint="eastAsia" w:ascii="宋体" w:hAnsi="宋体" w:cs="Times New Roman"/>
          <w:b/>
          <w:bCs/>
          <w:sz w:val="36"/>
          <w:szCs w:val="36"/>
        </w:rPr>
        <w:t>屋征收</w:t>
      </w:r>
    </w:p>
    <w:p>
      <w:pPr>
        <w:keepNext w:val="0"/>
        <w:keepLines w:val="0"/>
        <w:pageBreakBefore w:val="0"/>
        <w:widowControl w:val="0"/>
        <w:kinsoku/>
        <w:overflowPunct/>
        <w:topLinePunct w:val="0"/>
        <w:autoSpaceDE/>
        <w:autoSpaceDN/>
        <w:bidi w:val="0"/>
        <w:adjustRightInd/>
        <w:spacing w:line="500" w:lineRule="exact"/>
        <w:jc w:val="center"/>
        <w:textAlignment w:val="auto"/>
        <w:rPr>
          <w:rFonts w:hint="eastAsia" w:ascii="宋体" w:hAnsi="宋体" w:cs="Times New Roman"/>
          <w:b/>
          <w:bCs/>
          <w:sz w:val="36"/>
          <w:szCs w:val="36"/>
        </w:rPr>
      </w:pPr>
      <w:r>
        <w:rPr>
          <w:rFonts w:hint="eastAsia" w:ascii="宋体" w:hAnsi="宋体" w:cs="Times New Roman"/>
          <w:b/>
          <w:bCs/>
          <w:sz w:val="36"/>
          <w:szCs w:val="36"/>
        </w:rPr>
        <w:t>居住困难户认定和保障补贴办法</w:t>
      </w:r>
    </w:p>
    <w:p>
      <w:pPr>
        <w:keepNext w:val="0"/>
        <w:keepLines w:val="0"/>
        <w:pageBreakBefore w:val="0"/>
        <w:widowControl w:val="0"/>
        <w:tabs>
          <w:tab w:val="left" w:pos="855"/>
        </w:tabs>
        <w:kinsoku/>
        <w:overflowPunct/>
        <w:topLinePunct w:val="0"/>
        <w:autoSpaceDE/>
        <w:autoSpaceDN/>
        <w:bidi w:val="0"/>
        <w:adjustRightInd/>
        <w:snapToGrid w:val="0"/>
        <w:spacing w:line="500" w:lineRule="exact"/>
        <w:ind w:firstLine="600"/>
        <w:jc w:val="left"/>
        <w:textAlignment w:val="auto"/>
        <w:rPr>
          <w:rFonts w:ascii="黑体" w:eastAsia="黑体"/>
          <w:color w:val="000000"/>
          <w:sz w:val="30"/>
        </w:rPr>
      </w:pP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一、目的和依据</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为规范房屋征收与补偿中优先住房保障的居住困难户审核认定工作，根据《国有土地上房屋征收与补偿条例》(国务院令第590号)、《上海市国有土地上房屋征收与补偿实施细则》(上海市人民政府令第71号) (以下简称《实施细则》)、《上海市共有产权保障住房申请对象住房面积核查办法》(沪房规范 〔2019〕17号)等相关规定，特制定本办法。</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二、居住困难户人数核定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(一)可以核定为居住困难户人数的情况</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1、截止该地块征收决定公布之日，在被征收房屋处有本市常住户口且实际居住,在本市无他处住房，或虽有他处住房但人均建筑面积低于15平方米(含)的人员。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2、截止该地块征收决定公布之日,不具有被征收房屋处常住户口，在本市无他处住房，或虽有他处住房但人均建筑面积低于15平方米(含)的人员，且符合下列情形之一的人员: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（1）原户口从被征收房屋内迁出的军人、海员、船员、野外筑路、勘探、就学等人员，现户口在部队、单位或学校的人员;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（2）原户口在被征收房屋内，因正在服刑、劳动教养而户口被注销的人员；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（3）户口在被征收房屋内，在境外学校学习未满5年，未婚且未定居，或者在境外工作未定居且每年在本市居住满90日的人员</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（4）有本市户籍的未满18周岁的未成年人，其父母一方被核定为本地块居住困难户保障补贴人员的(离婚家庭按照法院民事调解书或判决书、离婚协议书明确的未成年人抚养权归属认定)。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（5）非本市常住户口(不含外籍、港澳台人士)，有下列情形的人员：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①其配偶被核定为本地块居住困难户，结婚证开具的日期至本地块房屋征收决定公布之日满三年且截止至本地块征收决定公布之日具有本市居住证连续满三年的;</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②其父母一方被核定为本地块居住困难户保障补贴人员(离婚家庭按照法院民事调解书或判决书、离婚协议书明确的未成年人抚养权归属认定)且截止至本地块征收决定公布之日具有本市居住证连续满三年或出生即办理本市居住证的三周岁以下未成年人</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(二)不予核定为居住困难户人数的情况</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1、父母户口不在被征收房屋内，因入托、求学等原因将户口迁入被征收房屋内的未成年子女。</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2、父母户口不在被征收房屋内，和父母共同核算他处住房建筑面积大于人均15平方米(含)的不能单独申请的成年单身子女（未满28周岁未婚男性及未满25周岁未婚女性）。</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3、已享受过居住困难户保障补贴或经济适用住房的人员。</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三、住房面积的核查与认定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住房面积核查的范围包括申请对象户口所在地住房面积和他处住房面积。</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(一)他处住房面积核查的范围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下列房屋面积应当计入他处住房面积：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 xml:space="preserve">1、本市他处的承租公有房屋(包含公有房屋使用权转让合同); </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2、本市他处的产权住房(包含网签购房合同、网签预售合同、预告登记);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3、因本市他处住房(含宅基地)动迁(征收)获得的补偿安置房或产权调换的房屋;</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4、本市他处的宅基地住房;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5、本市他处落实私房政策发回产权由业主自管的住房;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6、本市他处的共有产权保障房(经济适用住房)。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7、截止房屋征收决定公布之日</w:t>
      </w:r>
      <w:r>
        <w:rPr>
          <w:rFonts w:hint="eastAsia" w:ascii="仿宋" w:hAnsi="仿宋" w:eastAsia="仿宋" w:cs="Times New Roman"/>
          <w:spacing w:val="-6"/>
          <w:sz w:val="30"/>
          <w:szCs w:val="30"/>
          <w:lang w:val="en-US" w:eastAsia="zh-CN"/>
        </w:rPr>
        <w:t>前</w:t>
      </w:r>
      <w:r>
        <w:rPr>
          <w:rFonts w:hint="eastAsia" w:ascii="仿宋" w:hAnsi="仿宋" w:eastAsia="仿宋" w:cs="Times New Roman"/>
          <w:spacing w:val="-6"/>
          <w:sz w:val="30"/>
          <w:szCs w:val="30"/>
        </w:rPr>
        <w:t>5年，有下列情形的住房面积计算: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（1）出售或者赠与原有住房但未购入住房的，按照原有住房计算住房建筑面积；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（2）出售或赠与或其他方式转移并购入住房的，按照原有住房与购入住房之中面积较大的住房计算建筑面积；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3）按照离婚判决书或者协议书，获得住房安置补贴款的，按照获得住房安置补贴款时的全市二手房每平方米成交均价折算住房建筑面积(离婚家庭按照法院民事调解书或判决书、离婚协议书明确的房屋产权归属认定)</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（4）2011年10月19日以前，</w:t>
      </w:r>
      <w:r>
        <w:rPr>
          <w:rFonts w:hint="eastAsia" w:ascii="仿宋" w:hAnsi="仿宋" w:eastAsia="仿宋" w:cs="Times New Roman"/>
          <w:spacing w:val="-6"/>
          <w:sz w:val="30"/>
          <w:szCs w:val="30"/>
        </w:rPr>
        <w:t>因本市他处房屋拆迁获得过货币补</w:t>
      </w:r>
      <w:r>
        <w:rPr>
          <w:rFonts w:hint="eastAsia" w:ascii="仿宋" w:hAnsi="仿宋" w:eastAsia="仿宋" w:cs="Times New Roman"/>
          <w:spacing w:val="-6"/>
          <w:sz w:val="30"/>
          <w:szCs w:val="30"/>
          <w:highlight w:val="none"/>
        </w:rPr>
        <w:t>偿，由于自身原</w:t>
      </w:r>
      <w:r>
        <w:rPr>
          <w:rFonts w:hint="eastAsia" w:ascii="仿宋" w:hAnsi="仿宋" w:eastAsia="仿宋" w:cs="Times New Roman"/>
          <w:spacing w:val="-6"/>
          <w:sz w:val="30"/>
          <w:szCs w:val="30"/>
        </w:rPr>
        <w:t>因未购买住房的，</w:t>
      </w:r>
      <w:r>
        <w:rPr>
          <w:rFonts w:hint="eastAsia" w:ascii="仿宋" w:hAnsi="仿宋" w:eastAsia="仿宋" w:cs="Times New Roman"/>
          <w:spacing w:val="-6"/>
          <w:sz w:val="30"/>
          <w:szCs w:val="30"/>
          <w:highlight w:val="none"/>
          <w:lang w:val="en-US" w:eastAsia="zh-CN"/>
        </w:rPr>
        <w:t>且在本市无他处住房，</w:t>
      </w:r>
      <w:r>
        <w:rPr>
          <w:rFonts w:hint="eastAsia" w:ascii="仿宋" w:hAnsi="仿宋" w:eastAsia="仿宋" w:cs="Times New Roman"/>
          <w:spacing w:val="-6"/>
          <w:sz w:val="30"/>
          <w:szCs w:val="30"/>
          <w:lang w:val="en-US" w:eastAsia="zh-CN"/>
        </w:rPr>
        <w:t>可以认定为无他处住房面积</w:t>
      </w:r>
      <w:r>
        <w:rPr>
          <w:rFonts w:hint="eastAsia" w:ascii="仿宋" w:hAnsi="仿宋" w:eastAsia="仿宋" w:cs="Times New Roman"/>
          <w:spacing w:val="-6"/>
          <w:sz w:val="30"/>
          <w:szCs w:val="30"/>
        </w:rPr>
        <w:t>。</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核定面积家庭人数原则上按照申请对象户口所在地住房和他处住房计算。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1、《上海市房屋征收居住困难补贴申请表》中载明的全部申请人；</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2、《上海市房屋征收居住困难补贴申请表》中载明的全部申请人的配偶、未满28周岁未婚儿子及未满25周岁未婚女儿；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3、本市他处住房内户籍人员；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4、离婚未满三年的原配偶；</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5、下列人员，应该按照以下规定共同核算住房建筑面积：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（1）配偶（结婚需满1年）；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未成年子女及不能单独申请的成年单身子女（未满28周岁未婚男性及未满25周岁未婚女性）应当和父母共同核算住房建筑面积，父母双亡的应当与具有法定赡养、抚养或者抚养关系的家庭成员共同核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（3）截止该地块征收决定公布之日，离婚不满三年的人员应当与原配偶、未成年子女及不能单独申请的成年单身子女（未满28周岁未婚男性及未满25周岁未婚女性）共同核算住房建筑面积。</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(三)他处住房建筑面积确定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1、产权住房按照《不动产权属证书》(含《房地产权证》、《房屋所有权证》，下同)记载的建筑面积确定。尚未领取《不动产权属证书》的，根据网签合同载明的建筑面积确定。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公有承租房按照《租用居住公房凭证》等记载的居住面积，居住面积根据房屋类型结合对应的换算系数计算建筑面积。换算系数按《关于贯彻执行&lt;上海市国有土地上房屋征收与补偿实施细则&gt;若干具体问题的意见》(沪房管规范征(2012)9号)执行。</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(四)他处住房人均建筑面积低于15平方米(含)核定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他处住房应当按照该住房的全部建筑面积计算。如申请对象他处住房内无户籍人员，或者虽有户籍人员但按照规定不计入核定面积家庭人数的，可以按照申请对象在该住房拥有的建筑面积计算，计算方式如下：</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该住房为产权住房，《房地产权证》记载房屋产权为按份共有的，按照其拥有的产权份额计算住房建筑面积；《房地产权证》记载房屋产权为共同共有的，按照住房建筑面积除以房地产权利人人数计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2、该住房为承租公房的，按照该住房的全部建筑面积计算；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3、该住房为宅基地住房的，按照住房建筑面积除以批准建房人数计算。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户口所在地住房内，申请对象以外的其他核定面积家庭成员（简称“其他核定面积家庭成员”）他处住房人均住房建筑面积计算公式为：人均住房建筑面积=其他核定面积家庭成员他处住房建筑面积÷该住房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按照上述方式计算，其他核定面积家庭成员他处住房人均住房建筑面积低于15平方米（含15平方米）的，可以计入申请对象户口所在地住房的核定面积家庭人数；人均住房建筑面积超过15平方米的不得计入申请对象户口所在地住房的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父母户口不在申请对象户口所在地住房或者他处住房的，因入托、求学等原因将户口迁至申请对象户口所在地住房或者他处住房的未成年子女不得计入申请对象的核定面积家庭人数。</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四、居住困难户保障补贴计算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 xml:space="preserve">按照本办法和《上海市国有土地上房屋征收与补偿实施细则》第三十一条第二款规定的折算公式计算后，人均安置建筑面积不足22平方米的居住困难户，增加居住困难补贴，但已享受过经济适用房政策的除外。                                                                                                                                                                 </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折算公式为：被征收房屋补偿金额÷折算单价÷居住困难户人数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保障补贴=折算单价×居住困难户人数×22平方米-被征收房屋补偿金额</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征收居住和非居住兼用的房屋，在折算居住困难户的保障补贴时，应将被征收房屋居住部分的补偿金额和非居住部分的补偿金额合并计算。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非居住房屋(全非居)不享受居住困难户保障补贴。</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五、居住困难户的申请和审核</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(一)居住困难户申请</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居住困难的被征收人、公有房屋承租人提出居住困难审核申请并提供以下材料：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2、共同申请人的身份证明材料；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3、被征收房屋和需核查的他处住房户口簿等户籍证明；无本市常住户口的需提供所在地户口簿等户籍证明；</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4、共同申请人的婚姻状况证明、外地配偶上海市居住证和户籍证明、未成年人的出生证明;达到法定结婚年龄的未婚者需提供本人单身承诺书;离婚者，应当提交离婚协议书或法院判决(调解)书及离婚后未婚证明；</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5、共同申请人户口所在地住房和他处住房的《不动产权属证书(房地产权证)》等有效权属凭证或租赁公房凭证、户口簿等有关凭证；</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6、如该户人员放弃申请居住困难户保障补贴的，应当提交全体申请人共同签署的《放弃申请居住困难户保障补贴承诺书》，及征收事务所的审查材料；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7、核定需要的其他证明材料。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被征收人、公有房屋承租人不提出居住困难审核申请的，房屋使用人、共同居住人可以提出居住困难核查申请。</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征收地块的房屋征收补偿协议已开始履行(被征收户、公有房屋承租户开始受领补偿奖励等款项或开始办理产权调换房屋办理进房手续)时，不再受理居住困难申请。可另行通过本市经济适用住房等住房保障政策申请。</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(二)审核</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1、受理</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spacing w:val="-6"/>
          <w:sz w:val="30"/>
          <w:szCs w:val="30"/>
          <w:lang w:val="en-US" w:eastAsia="zh-CN"/>
        </w:rPr>
        <w:t>(1)提交申请时，</w:t>
      </w:r>
      <w:r>
        <w:rPr>
          <w:rFonts w:hint="eastAsia" w:ascii="仿宋" w:hAnsi="仿宋" w:eastAsia="仿宋" w:cs="Times New Roman"/>
          <w:b/>
          <w:bCs/>
          <w:spacing w:val="-6"/>
          <w:sz w:val="30"/>
          <w:szCs w:val="30"/>
          <w:lang w:val="en-US" w:eastAsia="zh-CN"/>
        </w:rPr>
        <w:t>申请人应将原件及相关证件的复印件交征收事务所经办人核对无误后，由申请人提交及经办人在提交的材料上签字确认。</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征收事务所对申请户提供的书面材料进行核查，资料齐全的，予以受理并将申请户信息输入信息系统；资料不全的，应书面告知申请人(户)需要补充的材料，申请人(户)在收到书面告知之日起5日内提交补充材料,未在5日内提交补充材料的，由征收事务所作好注记，并按相关规定进行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2、住房核查</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受理后，由市、区相关部门对申请户的他处住房等进行核查。</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核查过程中，如需要申请人（户）提供相应材料的，由征收事务所书面告知，申请人（户）应当在收到书面告知之日起10日内提供补充材料，逾期不提供的，由征收事务所作好注记，并按相关规定进行核定。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b/>
          <w:bCs/>
          <w:spacing w:val="-6"/>
          <w:sz w:val="30"/>
          <w:szCs w:val="30"/>
          <w:lang w:val="en-US" w:eastAsia="zh-CN"/>
        </w:rPr>
        <w:t>3、认定公示</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住房核查后，符合居住困难户人员的信息，在征收范围内进行为期15日的公示。公示期内如有人举报或提出异议的，受理部门应当在15日内完成核查并进行公布；公示期内提出异议的，公示期满后按规定调整居住困难户保障补贴。</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4、放弃申请</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被征收人、公有房屋承租人提出放弃居住困难户保障补贴的，应在签约前由原全体申请人共同签署放弃房屋征收居住困难户保障补贴的书面文件。</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六、法律责任</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在审核认定过程中，发现申请人存在伪造、变造或使用伪造、变造国家机关公文、证件、印章情形的，视情节轻重，依法追究相应法律责任。</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补偿协议生效后，发现因申请人提供虚假材料造成认定有误的，房屋征收部门应当停止发放该户居住困难户保障补贴。</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七、监督保障</w:t>
      </w:r>
    </w:p>
    <w:p>
      <w:pPr>
        <w:keepNext w:val="0"/>
        <w:keepLines w:val="0"/>
        <w:pageBreakBefore w:val="0"/>
        <w:widowControl w:val="0"/>
        <w:kinsoku/>
        <w:overflowPunct/>
        <w:topLinePunct w:val="0"/>
        <w:autoSpaceDE/>
        <w:autoSpaceDN/>
        <w:bidi w:val="0"/>
        <w:adjustRightInd/>
        <w:spacing w:line="500" w:lineRule="exact"/>
        <w:ind w:firstLine="576" w:firstLineChars="200"/>
        <w:textAlignment w:val="auto"/>
        <w:rPr>
          <w:rFonts w:ascii="仿宋_GB2312" w:eastAsia="仿宋_GB2312"/>
          <w:color w:val="000000"/>
          <w:sz w:val="28"/>
          <w:szCs w:val="28"/>
        </w:rPr>
      </w:pPr>
      <w:r>
        <w:rPr>
          <w:rFonts w:hint="eastAsia" w:ascii="仿宋" w:hAnsi="仿宋" w:eastAsia="仿宋" w:cs="Times New Roman"/>
          <w:spacing w:val="-6"/>
          <w:sz w:val="30"/>
          <w:szCs w:val="30"/>
          <w:lang w:val="en-US" w:eastAsia="zh-CN"/>
        </w:rPr>
        <w:t>居住困难户保障补贴工作接受群众和社会的监督,并自觉接受监察部门、审计部门对认定各环节合法性的监察、审查。</w:t>
      </w:r>
    </w:p>
    <w:p>
      <w:pPr>
        <w:keepNext w:val="0"/>
        <w:keepLines w:val="0"/>
        <w:pageBreakBefore w:val="0"/>
        <w:widowControl w:val="0"/>
        <w:kinsoku/>
        <w:overflowPunct/>
        <w:topLinePunct w:val="0"/>
        <w:autoSpaceDE/>
        <w:autoSpaceDN/>
        <w:bidi w:val="0"/>
        <w:adjustRightInd/>
        <w:spacing w:line="500" w:lineRule="exact"/>
        <w:ind w:firstLine="560" w:firstLineChars="200"/>
        <w:textAlignment w:val="auto"/>
        <w:rPr>
          <w:rFonts w:ascii="仿宋_GB2312" w:eastAsia="仿宋_GB2312"/>
          <w:color w:val="000000"/>
          <w:sz w:val="28"/>
          <w:szCs w:val="28"/>
        </w:rPr>
      </w:pPr>
    </w:p>
    <w:p>
      <w:pPr>
        <w:keepNext w:val="0"/>
        <w:keepLines w:val="0"/>
        <w:pageBreakBefore w:val="0"/>
        <w:widowControl w:val="0"/>
        <w:kinsoku/>
        <w:overflowPunct/>
        <w:topLinePunct w:val="0"/>
        <w:autoSpaceDE/>
        <w:autoSpaceDN/>
        <w:bidi w:val="0"/>
        <w:adjustRightInd/>
        <w:spacing w:line="500" w:lineRule="exact"/>
        <w:ind w:firstLine="560" w:firstLineChars="200"/>
        <w:textAlignment w:val="auto"/>
        <w:rPr>
          <w:rFonts w:ascii="仿宋_GB2312" w:eastAsia="仿宋_GB2312"/>
          <w:color w:val="000000"/>
          <w:sz w:val="28"/>
          <w:szCs w:val="28"/>
        </w:rPr>
      </w:pPr>
    </w:p>
    <w:p>
      <w:pPr>
        <w:keepNext w:val="0"/>
        <w:keepLines w:val="0"/>
        <w:pageBreakBefore w:val="0"/>
        <w:widowControl w:val="0"/>
        <w:kinsoku/>
        <w:overflowPunct/>
        <w:topLinePunct w:val="0"/>
        <w:autoSpaceDE/>
        <w:autoSpaceDN/>
        <w:bidi w:val="0"/>
        <w:adjustRightInd/>
        <w:snapToGrid w:val="0"/>
        <w:spacing w:line="50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上海市徐汇区人民政府</w:t>
      </w:r>
    </w:p>
    <w:p>
      <w:pPr>
        <w:keepNext w:val="0"/>
        <w:keepLines w:val="0"/>
        <w:pageBreakBefore w:val="0"/>
        <w:widowControl w:val="0"/>
        <w:kinsoku/>
        <w:wordWrap w:val="0"/>
        <w:overflowPunct/>
        <w:topLinePunct w:val="0"/>
        <w:autoSpaceDE/>
        <w:autoSpaceDN/>
        <w:bidi w:val="0"/>
        <w:adjustRightInd/>
        <w:snapToGrid w:val="0"/>
        <w:spacing w:line="500" w:lineRule="exact"/>
        <w:ind w:firstLine="576" w:firstLineChars="200"/>
        <w:jc w:val="right"/>
        <w:textAlignment w:val="auto"/>
        <w:rPr>
          <w:rFonts w:hint="default" w:ascii="仿宋" w:hAnsi="仿宋" w:eastAsia="仿宋" w:cs="Times New Roman"/>
          <w:color w:val="auto"/>
          <w:spacing w:val="-6"/>
          <w:sz w:val="30"/>
          <w:szCs w:val="30"/>
          <w:lang w:val="en-US" w:eastAsia="zh-CN"/>
        </w:rPr>
      </w:pPr>
      <w:bookmarkStart w:id="0" w:name="_GoBack"/>
      <w:bookmarkEnd w:id="0"/>
      <w:r>
        <w:rPr>
          <w:rFonts w:hint="eastAsia" w:ascii="仿宋" w:hAnsi="仿宋" w:eastAsia="仿宋" w:cs="Times New Roman"/>
          <w:color w:val="auto"/>
          <w:spacing w:val="-6"/>
          <w:sz w:val="30"/>
          <w:szCs w:val="30"/>
          <w:lang w:val="en-US" w:eastAsia="zh-CN"/>
        </w:rPr>
        <w:t xml:space="preserve">2022年12月23日  </w:t>
      </w:r>
    </w:p>
    <w:p>
      <w:pPr>
        <w:keepNext w:val="0"/>
        <w:keepLines w:val="0"/>
        <w:pageBreakBefore w:val="0"/>
        <w:kinsoku/>
        <w:overflowPunct/>
        <w:topLinePunct w:val="0"/>
        <w:autoSpaceDE/>
        <w:autoSpaceDN/>
        <w:bidi w:val="0"/>
        <w:adjustRightInd/>
        <w:snapToGrid w:val="0"/>
        <w:spacing w:line="480" w:lineRule="exact"/>
        <w:ind w:firstLine="576" w:firstLineChars="200"/>
        <w:jc w:val="right"/>
        <w:textAlignment w:val="auto"/>
        <w:rPr>
          <w:rFonts w:hint="eastAsia" w:ascii="仿宋" w:hAnsi="仿宋" w:eastAsia="仿宋" w:cs="Times New Roman"/>
          <w:spacing w:val="-6"/>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OGZhMzk2NzBjNTY2ODVhNzhiYmQ1YjkxY2VhMDkifQ=="/>
  </w:docVars>
  <w:rsids>
    <w:rsidRoot w:val="427B37BD"/>
    <w:rsid w:val="08841460"/>
    <w:rsid w:val="0A9C4B42"/>
    <w:rsid w:val="0B9D718C"/>
    <w:rsid w:val="1B166D02"/>
    <w:rsid w:val="307D0D5C"/>
    <w:rsid w:val="329C2449"/>
    <w:rsid w:val="33CA1881"/>
    <w:rsid w:val="38A5089C"/>
    <w:rsid w:val="3FD6795B"/>
    <w:rsid w:val="422E011B"/>
    <w:rsid w:val="427B37BD"/>
    <w:rsid w:val="42E01004"/>
    <w:rsid w:val="48656AFD"/>
    <w:rsid w:val="62062032"/>
    <w:rsid w:val="63607761"/>
    <w:rsid w:val="7B5C7876"/>
    <w:rsid w:val="7BC160B7"/>
    <w:rsid w:val="7DD11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4109</Words>
  <Characters>4163</Characters>
  <Lines>0</Lines>
  <Paragraphs>0</Paragraphs>
  <TotalTime>0</TotalTime>
  <ScaleCrop>false</ScaleCrop>
  <LinksUpToDate>false</LinksUpToDate>
  <CharactersWithSpaces>4333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2022-10-13T03:01:00Z</dcterms:created>
  <dc:creator>Lenovo</dc:creator>
  <cp:lastModifiedBy>Lenovo</cp:lastModifiedBy>
  <cp:lastPrinted>2022-11-16T08:36:00Z</cp:lastPrinted>
  <dcterms:modified xsi:type="dcterms:W3CDTF">2022-12-21T08:38:16Z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A55A0587E2644548B4956F82B584A27F</vt:lpwstr>
  </property>
</Properties>
</file>