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华文中宋"/>
          <w:sz w:val="36"/>
          <w:szCs w:val="36"/>
        </w:rPr>
      </w:pPr>
      <w:r>
        <w:rPr>
          <w:rFonts w:hint="eastAsia" w:ascii="Times New Roman" w:hAnsi="Times New Roman" w:eastAsia="华文中宋"/>
          <w:sz w:val="36"/>
          <w:szCs w:val="36"/>
          <w:lang w:eastAsia="zh-CN"/>
        </w:rPr>
        <w:t>2024</w:t>
      </w:r>
      <w:r>
        <w:rPr>
          <w:rFonts w:ascii="Times New Roman" w:hAnsi="Times New Roman" w:eastAsia="华文中宋"/>
          <w:sz w:val="36"/>
          <w:szCs w:val="36"/>
        </w:rPr>
        <w:t>年度行政事业性国有资产分析报告提纲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贯彻落实市委、市政府关于</w:t>
      </w:r>
      <w:r>
        <w:rPr>
          <w:rFonts w:ascii="仿宋_GB2312" w:eastAsia="仿宋_GB2312"/>
          <w:sz w:val="32"/>
          <w:szCs w:val="32"/>
        </w:rPr>
        <w:t>国有资产管理情况</w:t>
      </w:r>
      <w:r>
        <w:rPr>
          <w:rFonts w:hint="eastAsia" w:ascii="仿宋_GB2312" w:eastAsia="仿宋_GB2312"/>
          <w:sz w:val="32"/>
          <w:szCs w:val="32"/>
          <w:lang w:eastAsia="zh-CN"/>
        </w:rPr>
        <w:t>报告工作的</w:t>
      </w:r>
      <w:r>
        <w:rPr>
          <w:rFonts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《行政事业性国有资产管理条例》（国务院令第738号）</w:t>
      </w:r>
      <w:r>
        <w:rPr>
          <w:rFonts w:hint="eastAsia" w:ascii="仿宋_GB2312" w:eastAsia="仿宋_GB2312"/>
          <w:sz w:val="32"/>
          <w:szCs w:val="32"/>
        </w:rPr>
        <w:t>和《行政事业单位国有资产报告制度》等有关规定，现对本单位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本地区资产占有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使用、变动以及管理情况等进行分析报告如下：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8" w:firstLine="0" w:firstLineChars="0"/>
        <w:textAlignment w:val="auto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一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本部门、本地区所属行政事业单位机构数、编制人数、实有人数等，</w:t>
      </w:r>
      <w:r>
        <w:rPr>
          <w:rFonts w:hint="eastAsia" w:ascii="仿宋_GB2312" w:eastAsia="仿宋_GB2312"/>
          <w:sz w:val="32"/>
          <w:szCs w:val="32"/>
          <w:lang w:eastAsia="zh-CN"/>
        </w:rPr>
        <w:t>市级主管</w:t>
      </w:r>
      <w:r>
        <w:rPr>
          <w:rFonts w:hint="eastAsia" w:ascii="仿宋_GB2312" w:eastAsia="仿宋_GB2312"/>
          <w:sz w:val="32"/>
          <w:szCs w:val="32"/>
        </w:rPr>
        <w:t>部门还应写明部门主要职责。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8" w:firstLine="0" w:firstLine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资产情况分析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198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（一）资产的总体情况分析。</w:t>
      </w:r>
      <w:r>
        <w:rPr>
          <w:rFonts w:hint="eastAsia" w:ascii="仿宋_GB2312" w:eastAsia="仿宋_GB2312"/>
          <w:sz w:val="32"/>
          <w:szCs w:val="32"/>
        </w:rPr>
        <w:t>主要包括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本地区资产总量、分布、构成、变动等情况，同时可结合预算收支、债务、历年情况等对资产分布、构成、变动的原因做出分析。其中</w:t>
      </w:r>
      <w:r>
        <w:rPr>
          <w:rFonts w:ascii="仿宋_GB2312" w:eastAsia="仿宋_GB2312"/>
          <w:sz w:val="32"/>
          <w:szCs w:val="32"/>
        </w:rPr>
        <w:t>，构成情况应包含流动资产</w:t>
      </w:r>
      <w:r>
        <w:rPr>
          <w:rFonts w:hint="eastAsia" w:ascii="仿宋_GB2312" w:eastAsia="仿宋_GB2312"/>
          <w:sz w:val="32"/>
          <w:szCs w:val="32"/>
        </w:rPr>
        <w:t>（重点是</w:t>
      </w:r>
      <w:r>
        <w:rPr>
          <w:rFonts w:ascii="仿宋_GB2312" w:eastAsia="仿宋_GB2312"/>
          <w:sz w:val="32"/>
          <w:szCs w:val="32"/>
        </w:rPr>
        <w:t>货币资金）、</w:t>
      </w:r>
      <w:r>
        <w:rPr>
          <w:rFonts w:hint="eastAsia" w:ascii="仿宋_GB2312" w:eastAsia="仿宋_GB2312"/>
          <w:sz w:val="32"/>
          <w:szCs w:val="32"/>
        </w:rPr>
        <w:t>无形资产</w:t>
      </w:r>
      <w:r>
        <w:rPr>
          <w:rFonts w:ascii="仿宋_GB2312" w:eastAsia="仿宋_GB2312"/>
          <w:sz w:val="32"/>
          <w:szCs w:val="32"/>
        </w:rPr>
        <w:t>、固定资产</w:t>
      </w:r>
      <w:r>
        <w:rPr>
          <w:rFonts w:hint="eastAsia" w:ascii="仿宋_GB2312" w:eastAsia="仿宋_GB2312"/>
          <w:sz w:val="32"/>
          <w:szCs w:val="32"/>
        </w:rPr>
        <w:t>、在建工程、</w:t>
      </w:r>
      <w:r>
        <w:rPr>
          <w:rFonts w:hint="eastAsia" w:ascii="仿宋_GB2312" w:eastAsia="仿宋_GB2312"/>
          <w:sz w:val="32"/>
          <w:szCs w:val="32"/>
          <w:lang w:eastAsia="zh-CN"/>
        </w:rPr>
        <w:t>长期投资、</w:t>
      </w:r>
      <w:r>
        <w:rPr>
          <w:rFonts w:hint="eastAsia" w:ascii="仿宋_GB2312" w:eastAsia="仿宋_GB2312"/>
          <w:sz w:val="32"/>
          <w:szCs w:val="32"/>
        </w:rPr>
        <w:t>公共基础设施、政府储备物资、文物文化资产、保障性住房等</w:t>
      </w:r>
      <w:r>
        <w:rPr>
          <w:rFonts w:ascii="仿宋_GB2312" w:eastAsia="仿宋_GB2312"/>
          <w:sz w:val="32"/>
          <w:szCs w:val="32"/>
        </w:rPr>
        <w:t>占</w:t>
      </w:r>
      <w:r>
        <w:rPr>
          <w:rFonts w:hint="eastAsia" w:ascii="仿宋_GB2312" w:eastAsia="仿宋_GB2312"/>
          <w:sz w:val="32"/>
          <w:szCs w:val="32"/>
        </w:rPr>
        <w:t>资产总额比例情况。</w:t>
      </w:r>
      <w:r>
        <w:rPr>
          <w:rFonts w:hint="eastAsia" w:ascii="仿宋_GB2312" w:eastAsia="仿宋_GB2312"/>
          <w:sz w:val="32"/>
          <w:szCs w:val="32"/>
          <w:lang w:eastAsia="zh-CN"/>
        </w:rPr>
        <w:t>各区</w:t>
      </w:r>
      <w:r>
        <w:rPr>
          <w:rFonts w:hint="eastAsia" w:ascii="仿宋_GB2312" w:eastAsia="仿宋_GB2312"/>
          <w:sz w:val="32"/>
          <w:szCs w:val="32"/>
        </w:rPr>
        <w:t>财政部门应对本地区</w:t>
      </w:r>
      <w:r>
        <w:rPr>
          <w:rFonts w:hint="eastAsia" w:ascii="仿宋_GB2312" w:hAnsi="楷体" w:eastAsia="仿宋_GB2312"/>
          <w:kern w:val="0"/>
          <w:sz w:val="32"/>
          <w:szCs w:val="32"/>
        </w:rPr>
        <w:t>教育、卫生、文化、科技、交通等</w:t>
      </w:r>
      <w:r>
        <w:rPr>
          <w:rFonts w:hint="eastAsia" w:ascii="仿宋_GB2312" w:eastAsia="仿宋_GB2312"/>
          <w:sz w:val="32"/>
          <w:szCs w:val="32"/>
        </w:rPr>
        <w:t>重点行业进行分析。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5" w:firstLineChars="148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（二）资产配置、使用、处置、收益情况分析。</w:t>
      </w: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整体配置、使用、处置、收益情况，特别是与部门、单位履行职能和促进行政管理、事业发展相关的重点资产的配置、使用、处置、收益等情况。资产使用情况应包含本期新增出租出借资产及对外投资情况；资产收益情况应包含利用国有资产对外投资、出租出借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处置国有资产取得的收益情况。</w:t>
      </w:r>
    </w:p>
    <w:p>
      <w:pPr>
        <w:keepNext w:val="0"/>
        <w:keepLines w:val="0"/>
        <w:pageBreakBefore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kern w:val="0"/>
          <w:sz w:val="32"/>
          <w:szCs w:val="32"/>
        </w:rPr>
        <w:t>（三）资产总体绩效情况。</w:t>
      </w:r>
      <w:r>
        <w:rPr>
          <w:rFonts w:hint="eastAsia" w:ascii="仿宋_GB2312" w:eastAsia="仿宋_GB2312"/>
          <w:sz w:val="32"/>
          <w:szCs w:val="32"/>
        </w:rPr>
        <w:t>分析本部门、本地区</w:t>
      </w:r>
      <w:r>
        <w:rPr>
          <w:rFonts w:hint="eastAsia" w:ascii="仿宋_GB2312" w:eastAsia="仿宋_GB2312"/>
          <w:sz w:val="32"/>
          <w:szCs w:val="32"/>
          <w:lang w:eastAsia="zh-CN"/>
        </w:rPr>
        <w:t>新增资产配置预算执行情况、</w:t>
      </w:r>
      <w:r>
        <w:rPr>
          <w:rFonts w:hint="eastAsia" w:ascii="仿宋_GB2312" w:eastAsia="仿宋_GB2312"/>
          <w:sz w:val="32"/>
          <w:szCs w:val="32"/>
        </w:rPr>
        <w:t>资产使用效益</w:t>
      </w:r>
      <w:r>
        <w:rPr>
          <w:rFonts w:hint="eastAsia" w:ascii="仿宋_GB2312" w:eastAsia="仿宋_GB2312"/>
          <w:sz w:val="32"/>
          <w:szCs w:val="32"/>
          <w:lang w:eastAsia="zh-CN"/>
        </w:rPr>
        <w:t>和大型科研仪器设备共享情况</w:t>
      </w:r>
      <w:r>
        <w:rPr>
          <w:rFonts w:hint="eastAsia" w:ascii="仿宋_GB2312" w:eastAsia="仿宋_GB2312"/>
          <w:sz w:val="32"/>
          <w:szCs w:val="32"/>
        </w:rPr>
        <w:t>等。资产使用效益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包含资产闲置率、</w:t>
      </w:r>
      <w:r>
        <w:rPr>
          <w:rFonts w:hint="eastAsia" w:ascii="仿宋_GB2312" w:eastAsia="仿宋_GB2312"/>
          <w:sz w:val="32"/>
          <w:szCs w:val="32"/>
          <w:highlight w:val="none"/>
        </w:rPr>
        <w:t>出租出借收益率、对外投资收益率等主要指标分析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，直观反映资产的绩效情况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三、资产管理工作情况及成效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认真总结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本地区落实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各项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资产管理</w:t>
      </w:r>
      <w:r>
        <w:rPr>
          <w:rFonts w:ascii="Times New Roman" w:hAnsi="Times New Roman" w:eastAsia="仿宋_GB2312"/>
          <w:sz w:val="32"/>
          <w:szCs w:val="32"/>
        </w:rPr>
        <w:t>举措，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重点围绕制度建设</w:t>
      </w:r>
      <w:r>
        <w:rPr>
          <w:rFonts w:hint="eastAsia" w:ascii="仿宋_GB2312" w:hAnsi="楷体" w:eastAsia="仿宋_GB2312"/>
          <w:kern w:val="0"/>
          <w:sz w:val="32"/>
          <w:szCs w:val="32"/>
        </w:rPr>
        <w:t>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楷体" w:eastAsia="仿宋_GB2312"/>
          <w:kern w:val="0"/>
          <w:sz w:val="32"/>
          <w:szCs w:val="32"/>
        </w:rPr>
        <w:t>基础管理、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从严配置资产、规范资产</w:t>
      </w:r>
      <w:r>
        <w:rPr>
          <w:rFonts w:hint="eastAsia" w:ascii="仿宋_GB2312" w:hAnsi="楷体" w:eastAsia="仿宋_GB2312"/>
          <w:kern w:val="0"/>
          <w:sz w:val="32"/>
          <w:szCs w:val="32"/>
        </w:rPr>
        <w:t>使用和处置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、资产盘活、财会监督、资产绩效管理、科技成果转化、数据资产管理、推进专项改革</w:t>
      </w:r>
      <w:r>
        <w:rPr>
          <w:rFonts w:hint="eastAsia" w:ascii="仿宋_GB2312" w:hAnsi="楷体" w:eastAsia="仿宋_GB2312"/>
          <w:kern w:val="0"/>
          <w:sz w:val="32"/>
          <w:szCs w:val="32"/>
        </w:rPr>
        <w:t>等方面的情况，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采取的主要举措、工作亮点和取得成效</w:t>
      </w:r>
      <w:r>
        <w:rPr>
          <w:rFonts w:hint="eastAsia" w:ascii="仿宋_GB2312" w:hAnsi="楷体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重点围绕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加强交通、水利、市政基础设施和政府储备物资、保障性住房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入账核算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等方面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本地区、本部门公共基础设施等行政事业性国有资产管理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采取的主要举措、工作亮点和取得成效。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单位履职和促进事业发展情况</w:t>
      </w:r>
    </w:p>
    <w:p>
      <w:pPr>
        <w:pStyle w:val="13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全面反映行政事业性国有资产管理在贯彻落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党中央、国务院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和市委、市政府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决策部署，保障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单位履职和事业发展、提供公共服务，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推进各项改革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等方面所发挥的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作用。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教育、科技、卫生、文化等行业，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重点反映在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落实科教兴国战略、实现科技自立自强、支持基本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公共服务均等化、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推进文化自信自强、服务本市重大改革事项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发挥的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（二）重点反映交通基础设施、水利基础设施、保障性住房、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文物文化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资产等资产在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服务加快建设交通强国，推动新阶段水利高质量发展，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“让全体人民住有所居”，战略保障、宏观调控、应对急需以及加强文物保护利用等方面发挥的基础性支撑作用。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资产管理工作存在的问题及整改措施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系统梳理和分析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资产管理各方面存在的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及产生的原因。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进行梳理和自查，提出下一步推进资产管理的工作思路。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针对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</w:rPr>
        <w:t>人大、审计、巡视等提出的行政事业性</w:t>
      </w:r>
      <w:r>
        <w:rPr>
          <w:rFonts w:ascii="仿宋_GB2312" w:hAnsi="华文仿宋" w:eastAsia="仿宋_GB2312" w:cs="华文仿宋"/>
          <w:bCs/>
          <w:kern w:val="0"/>
          <w:sz w:val="32"/>
          <w:szCs w:val="32"/>
        </w:rPr>
        <w:t>国有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  <w:highlight w:val="none"/>
        </w:rPr>
        <w:t>资产管理问题及建议，总结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  <w:highlight w:val="none"/>
          <w:lang w:eastAsia="zh-CN"/>
        </w:rPr>
        <w:t>报告整改落实情况。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hint="eastAsia" w:ascii="黑体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下一步工作思路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结合贯彻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党的二十大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和二十届二中、三中全会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精神，落实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党中央、国务院和市委、市政府决策部署，立足新发展阶段，着眼于构建新发展格局、推动高质量发展，坚持问题导向和目标导向，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认真研究提出务实管用的措施和推动资产管理高质量发展的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cs="华文中宋" w:asciiTheme="minorEastAsia" w:hAnsiTheme="minorEastAsia" w:eastAsiaTheme="minorEastAsia"/>
          <w:i/>
          <w:sz w:val="24"/>
          <w:szCs w:val="36"/>
        </w:rPr>
      </w:pP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注：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正式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分析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报告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内容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应该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包含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但不限于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本参考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格式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中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的内容。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各地区、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各部门和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单位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需结合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自身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实际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情况，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把握报告重点，认真起草行政事业单位国有资产分析报告。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instrText xml:space="preserve">PAGE 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t>4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</w:p>
  <w:p>
    <w:pPr>
      <w:pStyle w:val="4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C7BA5"/>
    <w:multiLevelType w:val="singleLevel"/>
    <w:tmpl w:val="EF7C7B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7D"/>
    <w:rsid w:val="0015767D"/>
    <w:rsid w:val="004F2DD1"/>
    <w:rsid w:val="006C1072"/>
    <w:rsid w:val="00A41716"/>
    <w:rsid w:val="00A43B1B"/>
    <w:rsid w:val="00BF09BD"/>
    <w:rsid w:val="00C914E2"/>
    <w:rsid w:val="00CD25F9"/>
    <w:rsid w:val="1CFDC715"/>
    <w:rsid w:val="27FFAFEC"/>
    <w:rsid w:val="3D773218"/>
    <w:rsid w:val="3F79DDEE"/>
    <w:rsid w:val="3FB71843"/>
    <w:rsid w:val="537F87A3"/>
    <w:rsid w:val="63EFE46B"/>
    <w:rsid w:val="6BFD7325"/>
    <w:rsid w:val="7BFEC5CD"/>
    <w:rsid w:val="7C6DEDD1"/>
    <w:rsid w:val="7D7F9E56"/>
    <w:rsid w:val="7DEFDAB3"/>
    <w:rsid w:val="9FDED321"/>
    <w:rsid w:val="AEF15027"/>
    <w:rsid w:val="BEFB524C"/>
    <w:rsid w:val="DD6FD7DF"/>
    <w:rsid w:val="DFADC937"/>
    <w:rsid w:val="DFD0B9CF"/>
    <w:rsid w:val="DFFFAF64"/>
    <w:rsid w:val="EDB6A931"/>
    <w:rsid w:val="EFFE7404"/>
    <w:rsid w:val="F7DF5858"/>
    <w:rsid w:val="F9F7A7B7"/>
    <w:rsid w:val="FD53D506"/>
    <w:rsid w:val="FDFBF7A0"/>
    <w:rsid w:val="FEC6EC8B"/>
    <w:rsid w:val="FFB8DEF3"/>
    <w:rsid w:val="FFE3FC55"/>
    <w:rsid w:val="FF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czj.sh</Company>
  <Pages>4</Pages>
  <Words>280</Words>
  <Characters>1598</Characters>
  <Lines>13</Lines>
  <Paragraphs>3</Paragraphs>
  <TotalTime>17</TotalTime>
  <ScaleCrop>false</ScaleCrop>
  <LinksUpToDate>false</LinksUpToDate>
  <CharactersWithSpaces>1875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2022-02-18T10:07:00Z</dcterms:created>
  <dc:creator>宿　杭</dc:creator>
  <cp:lastModifiedBy>lenovo</cp:lastModifiedBy>
  <cp:lastPrinted>2022-02-19T11:15:00Z</cp:lastPrinted>
  <dcterms:modified xsi:type="dcterms:W3CDTF">2025-01-07T15:04:10Z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