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33F7" w14:textId="77777777" w:rsidR="004F0BA5" w:rsidRDefault="0081166B">
      <w:pPr>
        <w:jc w:val="left"/>
        <w:outlineLvl w:val="0"/>
        <w:rPr>
          <w:rFonts w:ascii="宋体" w:eastAsia="仿宋_GB2312" w:hAnsi="宋体" w:cs="宋体"/>
          <w:b/>
          <w:bCs/>
          <w:color w:val="000000"/>
          <w:kern w:val="0"/>
          <w:sz w:val="40"/>
          <w:szCs w:val="40"/>
        </w:rPr>
      </w:pPr>
      <w:r>
        <w:rPr>
          <w:rFonts w:ascii="仿宋_GB2312" w:eastAsia="仿宋_GB2312" w:hint="eastAsia"/>
          <w:color w:val="000000" w:themeColor="text1"/>
          <w:sz w:val="32"/>
          <w:szCs w:val="32"/>
        </w:rPr>
        <w:t>附件</w:t>
      </w:r>
      <w:r>
        <w:rPr>
          <w:rFonts w:ascii="仿宋_GB2312" w:eastAsia="仿宋_GB2312"/>
          <w:color w:val="000000" w:themeColor="text1"/>
          <w:sz w:val="32"/>
          <w:szCs w:val="32"/>
        </w:rPr>
        <w:t>2</w:t>
      </w:r>
    </w:p>
    <w:p w14:paraId="7F5B623E" w14:textId="77777777" w:rsidR="004F0BA5" w:rsidRDefault="0081166B">
      <w:pPr>
        <w:jc w:val="center"/>
        <w:rPr>
          <w:rFonts w:ascii="华文中宋" w:eastAsia="华文中宋" w:hAnsi="华文中宋"/>
          <w:color w:val="000000" w:themeColor="text1"/>
          <w:sz w:val="40"/>
          <w:szCs w:val="40"/>
        </w:rPr>
      </w:pPr>
      <w:r>
        <w:rPr>
          <w:rFonts w:ascii="华文中宋" w:eastAsia="华文中宋" w:hAnsi="华文中宋" w:hint="eastAsia"/>
          <w:color w:val="000000" w:themeColor="text1"/>
          <w:sz w:val="40"/>
          <w:szCs w:val="40"/>
        </w:rPr>
        <w:t>202</w:t>
      </w:r>
      <w:r>
        <w:rPr>
          <w:rFonts w:ascii="华文中宋" w:eastAsia="华文中宋" w:hAnsi="华文中宋" w:hint="eastAsia"/>
          <w:color w:val="000000" w:themeColor="text1"/>
          <w:sz w:val="40"/>
          <w:szCs w:val="40"/>
        </w:rPr>
        <w:t>1</w:t>
      </w:r>
      <w:r>
        <w:rPr>
          <w:rFonts w:ascii="华文中宋" w:eastAsia="华文中宋" w:hAnsi="华文中宋" w:hint="eastAsia"/>
          <w:color w:val="000000" w:themeColor="text1"/>
          <w:sz w:val="40"/>
          <w:szCs w:val="40"/>
        </w:rPr>
        <w:t>年度行政事业单位内部控制报告数据质量自查表</w:t>
      </w:r>
    </w:p>
    <w:p w14:paraId="6FD4EAB8" w14:textId="77777777" w:rsidR="004F0BA5" w:rsidRDefault="004F0BA5">
      <w:pPr>
        <w:outlineLvl w:val="0"/>
        <w:rPr>
          <w:rFonts w:ascii="宋体" w:hAnsi="宋体" w:cs="宋体"/>
          <w:color w:val="080000"/>
          <w:kern w:val="0"/>
          <w:sz w:val="22"/>
          <w:szCs w:val="22"/>
        </w:rPr>
      </w:pPr>
    </w:p>
    <w:p w14:paraId="563D7AF8" w14:textId="77777777" w:rsidR="004F0BA5" w:rsidRDefault="0081166B">
      <w:pPr>
        <w:outlineLvl w:val="0"/>
        <w:rPr>
          <w:rFonts w:ascii="宋体" w:hAnsi="宋体" w:cs="宋体"/>
          <w:color w:val="080000"/>
          <w:kern w:val="0"/>
          <w:sz w:val="22"/>
          <w:szCs w:val="22"/>
        </w:rPr>
      </w:pPr>
      <w:r>
        <w:rPr>
          <w:rFonts w:ascii="宋体" w:hAnsi="宋体" w:cs="宋体" w:hint="eastAsia"/>
          <w:color w:val="080000"/>
          <w:kern w:val="0"/>
          <w:sz w:val="22"/>
          <w:szCs w:val="22"/>
        </w:rPr>
        <w:t>填报部门（区）：</w:t>
      </w:r>
      <w:r>
        <w:rPr>
          <w:rFonts w:ascii="宋体" w:hAnsi="宋体" w:cs="宋体" w:hint="eastAsia"/>
          <w:color w:val="080000"/>
          <w:kern w:val="0"/>
          <w:sz w:val="22"/>
          <w:szCs w:val="22"/>
        </w:rPr>
        <w:t xml:space="preserve">                               </w:t>
      </w:r>
      <w:r>
        <w:rPr>
          <w:rFonts w:ascii="宋体" w:hAnsi="宋体" w:cs="宋体" w:hint="eastAsia"/>
          <w:color w:val="080000"/>
          <w:kern w:val="0"/>
          <w:sz w:val="22"/>
          <w:szCs w:val="22"/>
        </w:rPr>
        <w:t>记录人：</w:t>
      </w:r>
      <w:r>
        <w:rPr>
          <w:rFonts w:ascii="宋体" w:hAnsi="宋体" w:cs="宋体" w:hint="eastAsia"/>
          <w:color w:val="080000"/>
          <w:kern w:val="0"/>
          <w:sz w:val="22"/>
          <w:szCs w:val="22"/>
        </w:rPr>
        <w:t xml:space="preserve">                    </w:t>
      </w:r>
      <w:r>
        <w:rPr>
          <w:rFonts w:ascii="宋体" w:hAnsi="宋体" w:cs="宋体" w:hint="eastAsia"/>
          <w:color w:val="080000"/>
          <w:kern w:val="0"/>
          <w:sz w:val="22"/>
          <w:szCs w:val="22"/>
        </w:rPr>
        <w:t>审核人：</w:t>
      </w:r>
      <w:r>
        <w:rPr>
          <w:rFonts w:ascii="宋体" w:hAnsi="宋体" w:cs="宋体" w:hint="eastAsia"/>
          <w:color w:val="080000"/>
          <w:kern w:val="0"/>
          <w:sz w:val="22"/>
          <w:szCs w:val="22"/>
        </w:rPr>
        <w:t xml:space="preserve">                   </w:t>
      </w:r>
      <w:r>
        <w:rPr>
          <w:rFonts w:ascii="宋体" w:hAnsi="宋体" w:cs="宋体" w:hint="eastAsia"/>
          <w:color w:val="080000"/>
          <w:kern w:val="0"/>
          <w:sz w:val="22"/>
          <w:szCs w:val="22"/>
        </w:rPr>
        <w:t>报送日期：</w:t>
      </w:r>
      <w:r>
        <w:rPr>
          <w:rFonts w:ascii="宋体" w:hAnsi="宋体" w:cs="宋体" w:hint="eastAsia"/>
          <w:color w:val="080000"/>
          <w:kern w:val="0"/>
          <w:sz w:val="22"/>
          <w:szCs w:val="22"/>
        </w:rPr>
        <w:t xml:space="preserve"> </w:t>
      </w:r>
    </w:p>
    <w:tbl>
      <w:tblPr>
        <w:tblW w:w="13948" w:type="dxa"/>
        <w:tblLayout w:type="fixed"/>
        <w:tblLook w:val="04A0" w:firstRow="1" w:lastRow="0" w:firstColumn="1" w:lastColumn="0" w:noHBand="0" w:noVBand="1"/>
      </w:tblPr>
      <w:tblGrid>
        <w:gridCol w:w="1414"/>
        <w:gridCol w:w="2511"/>
        <w:gridCol w:w="4508"/>
        <w:gridCol w:w="2762"/>
        <w:gridCol w:w="2753"/>
      </w:tblGrid>
      <w:tr w:rsidR="004F0BA5" w14:paraId="6399A50A" w14:textId="77777777">
        <w:trPr>
          <w:cantSplit/>
          <w:trHeight w:val="525"/>
          <w:tblHeader/>
        </w:trPr>
        <w:tc>
          <w:tcPr>
            <w:tcW w:w="39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36C1D" w14:textId="77777777" w:rsidR="004F0BA5" w:rsidRDefault="0081166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审核指标</w:t>
            </w:r>
          </w:p>
        </w:tc>
        <w:tc>
          <w:tcPr>
            <w:tcW w:w="4508" w:type="dxa"/>
            <w:tcBorders>
              <w:top w:val="single" w:sz="4" w:space="0" w:color="auto"/>
              <w:left w:val="nil"/>
              <w:bottom w:val="single" w:sz="4" w:space="0" w:color="auto"/>
              <w:right w:val="single" w:sz="4" w:space="0" w:color="auto"/>
            </w:tcBorders>
            <w:shd w:val="clear" w:color="auto" w:fill="auto"/>
            <w:vAlign w:val="center"/>
          </w:tcPr>
          <w:p w14:paraId="0B775D38" w14:textId="77777777" w:rsidR="004F0BA5" w:rsidRDefault="0081166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审核要求</w:t>
            </w:r>
          </w:p>
        </w:tc>
        <w:tc>
          <w:tcPr>
            <w:tcW w:w="2762" w:type="dxa"/>
            <w:tcBorders>
              <w:top w:val="single" w:sz="4" w:space="0" w:color="auto"/>
              <w:left w:val="nil"/>
              <w:bottom w:val="single" w:sz="4" w:space="0" w:color="auto"/>
              <w:right w:val="single" w:sz="4" w:space="0" w:color="auto"/>
            </w:tcBorders>
            <w:shd w:val="clear" w:color="auto" w:fill="auto"/>
            <w:vAlign w:val="center"/>
          </w:tcPr>
          <w:p w14:paraId="7D3FE829" w14:textId="77777777" w:rsidR="004F0BA5" w:rsidRDefault="0081166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审核结果</w:t>
            </w:r>
          </w:p>
        </w:tc>
        <w:tc>
          <w:tcPr>
            <w:tcW w:w="2753" w:type="dxa"/>
            <w:tcBorders>
              <w:top w:val="single" w:sz="4" w:space="0" w:color="auto"/>
              <w:left w:val="nil"/>
              <w:bottom w:val="single" w:sz="4" w:space="0" w:color="auto"/>
              <w:right w:val="single" w:sz="4" w:space="0" w:color="auto"/>
            </w:tcBorders>
            <w:shd w:val="clear" w:color="auto" w:fill="auto"/>
            <w:vAlign w:val="center"/>
          </w:tcPr>
          <w:p w14:paraId="17BA5D4A" w14:textId="77777777" w:rsidR="004F0BA5" w:rsidRDefault="0081166B">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情况说明</w:t>
            </w:r>
          </w:p>
        </w:tc>
      </w:tr>
      <w:tr w:rsidR="004F0BA5" w14:paraId="037A50B0" w14:textId="77777777">
        <w:trPr>
          <w:cantSplit/>
          <w:trHeight w:val="825"/>
        </w:trPr>
        <w:tc>
          <w:tcPr>
            <w:tcW w:w="1414" w:type="dxa"/>
            <w:tcBorders>
              <w:top w:val="nil"/>
              <w:left w:val="single" w:sz="4" w:space="0" w:color="auto"/>
              <w:bottom w:val="single" w:sz="4" w:space="0" w:color="000000"/>
              <w:right w:val="single" w:sz="4" w:space="0" w:color="auto"/>
            </w:tcBorders>
            <w:shd w:val="clear" w:color="auto" w:fill="auto"/>
            <w:vAlign w:val="center"/>
          </w:tcPr>
          <w:p w14:paraId="185D6393"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一、报告材料的规范性</w:t>
            </w:r>
          </w:p>
        </w:tc>
        <w:tc>
          <w:tcPr>
            <w:tcW w:w="2511" w:type="dxa"/>
            <w:tcBorders>
              <w:top w:val="nil"/>
              <w:left w:val="nil"/>
              <w:bottom w:val="single" w:sz="4" w:space="0" w:color="auto"/>
              <w:right w:val="single" w:sz="4" w:space="0" w:color="auto"/>
            </w:tcBorders>
            <w:shd w:val="clear" w:color="auto" w:fill="auto"/>
            <w:vAlign w:val="center"/>
          </w:tcPr>
          <w:p w14:paraId="51C1CA4E"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报告编制符合规定格式，报送手续齐全。</w:t>
            </w:r>
          </w:p>
        </w:tc>
        <w:tc>
          <w:tcPr>
            <w:tcW w:w="4508" w:type="dxa"/>
            <w:tcBorders>
              <w:top w:val="nil"/>
              <w:left w:val="nil"/>
              <w:bottom w:val="single" w:sz="4" w:space="0" w:color="auto"/>
              <w:right w:val="single" w:sz="4" w:space="0" w:color="auto"/>
            </w:tcBorders>
            <w:shd w:val="clear" w:color="auto" w:fill="auto"/>
            <w:vAlign w:val="center"/>
          </w:tcPr>
          <w:p w14:paraId="127AEC41"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报告材料完整，数据填列齐全，装订规范，不得缺少张页；报告封面指标填列完整，正式行文报送时需经部门主要负责人签字或盖章，并加盖单位行政公章。</w:t>
            </w:r>
          </w:p>
        </w:tc>
        <w:tc>
          <w:tcPr>
            <w:tcW w:w="2762" w:type="dxa"/>
            <w:tcBorders>
              <w:top w:val="nil"/>
              <w:left w:val="nil"/>
              <w:bottom w:val="single" w:sz="4" w:space="0" w:color="auto"/>
              <w:right w:val="single" w:sz="4" w:space="0" w:color="auto"/>
            </w:tcBorders>
            <w:shd w:val="clear" w:color="auto" w:fill="auto"/>
            <w:vAlign w:val="center"/>
          </w:tcPr>
          <w:p w14:paraId="10C62BE5"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审核通过</w:t>
            </w:r>
            <w:r>
              <w:rPr>
                <w:rFonts w:ascii="宋体" w:hAnsi="宋体" w:cs="宋体" w:hint="eastAsia"/>
                <w:color w:val="000000"/>
                <w:kern w:val="0"/>
                <w:sz w:val="22"/>
                <w:szCs w:val="22"/>
              </w:rPr>
              <w:t>/</w:t>
            </w:r>
            <w:r>
              <w:rPr>
                <w:rFonts w:ascii="宋体" w:hAnsi="宋体" w:cs="宋体" w:hint="eastAsia"/>
                <w:color w:val="000000"/>
                <w:kern w:val="0"/>
                <w:sz w:val="22"/>
                <w:szCs w:val="22"/>
              </w:rPr>
              <w:t>审核不通过</w:t>
            </w:r>
          </w:p>
        </w:tc>
        <w:tc>
          <w:tcPr>
            <w:tcW w:w="2753" w:type="dxa"/>
            <w:tcBorders>
              <w:top w:val="nil"/>
              <w:left w:val="nil"/>
              <w:bottom w:val="single" w:sz="4" w:space="0" w:color="auto"/>
              <w:right w:val="single" w:sz="4" w:space="0" w:color="auto"/>
            </w:tcBorders>
            <w:shd w:val="clear" w:color="auto" w:fill="auto"/>
            <w:vAlign w:val="center"/>
          </w:tcPr>
          <w:p w14:paraId="1D8E9F19" w14:textId="77777777" w:rsidR="004F0BA5" w:rsidRDefault="004F0BA5">
            <w:pPr>
              <w:widowControl/>
              <w:jc w:val="left"/>
              <w:rPr>
                <w:rFonts w:ascii="宋体" w:hAnsi="宋体" w:cs="宋体"/>
                <w:color w:val="000000"/>
                <w:kern w:val="0"/>
                <w:sz w:val="22"/>
                <w:szCs w:val="22"/>
              </w:rPr>
            </w:pPr>
          </w:p>
        </w:tc>
      </w:tr>
      <w:tr w:rsidR="004F0BA5" w14:paraId="7D75FEE7" w14:textId="77777777">
        <w:trPr>
          <w:cantSplit/>
          <w:trHeight w:val="825"/>
        </w:trPr>
        <w:tc>
          <w:tcPr>
            <w:tcW w:w="1414" w:type="dxa"/>
            <w:vMerge w:val="restart"/>
            <w:tcBorders>
              <w:top w:val="nil"/>
              <w:left w:val="single" w:sz="4" w:space="0" w:color="auto"/>
              <w:bottom w:val="single" w:sz="4" w:space="0" w:color="000000"/>
              <w:right w:val="single" w:sz="4" w:space="0" w:color="auto"/>
            </w:tcBorders>
            <w:shd w:val="clear" w:color="auto" w:fill="auto"/>
            <w:vAlign w:val="center"/>
          </w:tcPr>
          <w:p w14:paraId="067611CF"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二、基础数据的规范性</w:t>
            </w:r>
          </w:p>
        </w:tc>
        <w:tc>
          <w:tcPr>
            <w:tcW w:w="2511" w:type="dxa"/>
            <w:tcBorders>
              <w:top w:val="nil"/>
              <w:left w:val="nil"/>
              <w:bottom w:val="single" w:sz="4" w:space="0" w:color="auto"/>
              <w:right w:val="single" w:sz="4" w:space="0" w:color="auto"/>
            </w:tcBorders>
            <w:shd w:val="clear" w:color="auto" w:fill="auto"/>
            <w:vAlign w:val="center"/>
          </w:tcPr>
          <w:p w14:paraId="7A95E991"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（一）电子树形结构规范、清晰。</w:t>
            </w:r>
          </w:p>
        </w:tc>
        <w:tc>
          <w:tcPr>
            <w:tcW w:w="4508" w:type="dxa"/>
            <w:tcBorders>
              <w:top w:val="nil"/>
              <w:left w:val="nil"/>
              <w:bottom w:val="single" w:sz="4" w:space="0" w:color="auto"/>
              <w:right w:val="single" w:sz="4" w:space="0" w:color="auto"/>
            </w:tcBorders>
            <w:shd w:val="clear" w:color="auto" w:fill="auto"/>
            <w:vAlign w:val="center"/>
          </w:tcPr>
          <w:p w14:paraId="642E68CB"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应按照预算管理级次，逐级建立内控报告数据的树形结构，不存在树形外的单位节点。</w:t>
            </w:r>
          </w:p>
        </w:tc>
        <w:tc>
          <w:tcPr>
            <w:tcW w:w="2762" w:type="dxa"/>
            <w:tcBorders>
              <w:top w:val="nil"/>
              <w:left w:val="nil"/>
              <w:bottom w:val="single" w:sz="4" w:space="0" w:color="auto"/>
              <w:right w:val="single" w:sz="4" w:space="0" w:color="auto"/>
            </w:tcBorders>
            <w:shd w:val="clear" w:color="auto" w:fill="auto"/>
            <w:vAlign w:val="center"/>
          </w:tcPr>
          <w:p w14:paraId="63771D2B"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树形结构清晰</w:t>
            </w:r>
            <w:r>
              <w:rPr>
                <w:rFonts w:ascii="宋体" w:hAnsi="宋体" w:cs="宋体" w:hint="eastAsia"/>
                <w:color w:val="000000"/>
                <w:kern w:val="0"/>
                <w:sz w:val="22"/>
                <w:szCs w:val="22"/>
              </w:rPr>
              <w:t>/</w:t>
            </w:r>
            <w:r>
              <w:rPr>
                <w:rFonts w:ascii="宋体" w:hAnsi="宋体" w:cs="宋体" w:hint="eastAsia"/>
                <w:color w:val="000000"/>
                <w:kern w:val="0"/>
                <w:sz w:val="22"/>
                <w:szCs w:val="22"/>
              </w:rPr>
              <w:t>树形结构混乱</w:t>
            </w:r>
          </w:p>
        </w:tc>
        <w:tc>
          <w:tcPr>
            <w:tcW w:w="2753" w:type="dxa"/>
            <w:tcBorders>
              <w:top w:val="nil"/>
              <w:left w:val="nil"/>
              <w:bottom w:val="single" w:sz="4" w:space="0" w:color="auto"/>
              <w:right w:val="single" w:sz="4" w:space="0" w:color="auto"/>
            </w:tcBorders>
            <w:shd w:val="clear" w:color="auto" w:fill="auto"/>
            <w:vAlign w:val="center"/>
          </w:tcPr>
          <w:p w14:paraId="6BA6EA43" w14:textId="77777777" w:rsidR="004F0BA5" w:rsidRDefault="004F0BA5">
            <w:pPr>
              <w:widowControl/>
              <w:rPr>
                <w:rFonts w:ascii="宋体" w:hAnsi="宋体" w:cs="宋体"/>
                <w:color w:val="000000"/>
                <w:kern w:val="0"/>
                <w:sz w:val="22"/>
                <w:szCs w:val="22"/>
              </w:rPr>
            </w:pPr>
          </w:p>
        </w:tc>
      </w:tr>
      <w:tr w:rsidR="004F0BA5" w14:paraId="6D0B8FDA" w14:textId="77777777">
        <w:trPr>
          <w:cantSplit/>
          <w:trHeight w:val="1446"/>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32C0D9C8"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2B6F9CDB"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（二）隶属关系与实际预算管理级次一致</w:t>
            </w:r>
          </w:p>
        </w:tc>
        <w:tc>
          <w:tcPr>
            <w:tcW w:w="4508" w:type="dxa"/>
            <w:tcBorders>
              <w:top w:val="nil"/>
              <w:left w:val="nil"/>
              <w:bottom w:val="single" w:sz="4" w:space="0" w:color="auto"/>
              <w:right w:val="single" w:sz="4" w:space="0" w:color="auto"/>
            </w:tcBorders>
            <w:shd w:val="clear" w:color="auto" w:fill="auto"/>
            <w:vAlign w:val="center"/>
          </w:tcPr>
          <w:p w14:paraId="73E1572C"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“隶属关系”按照单位实际预算管理级次填写：市级单位，隶属关系全部为该市（代码后</w:t>
            </w:r>
            <w:r>
              <w:rPr>
                <w:rFonts w:ascii="宋体" w:hAnsi="宋体" w:cs="宋体" w:hint="eastAsia"/>
                <w:color w:val="000000"/>
                <w:kern w:val="0"/>
                <w:sz w:val="22"/>
                <w:szCs w:val="22"/>
              </w:rPr>
              <w:t>2</w:t>
            </w:r>
            <w:r>
              <w:rPr>
                <w:rFonts w:ascii="宋体" w:hAnsi="宋体" w:cs="宋体" w:hint="eastAsia"/>
                <w:color w:val="000000"/>
                <w:kern w:val="0"/>
                <w:sz w:val="22"/>
                <w:szCs w:val="22"/>
              </w:rPr>
              <w:t>位为“</w:t>
            </w:r>
            <w:r>
              <w:rPr>
                <w:rFonts w:ascii="宋体" w:hAnsi="宋体" w:cs="宋体" w:hint="eastAsia"/>
                <w:color w:val="000000"/>
                <w:kern w:val="0"/>
                <w:sz w:val="22"/>
                <w:szCs w:val="22"/>
              </w:rPr>
              <w:t>00</w:t>
            </w:r>
            <w:r>
              <w:rPr>
                <w:rFonts w:ascii="宋体" w:hAnsi="宋体" w:cs="宋体" w:hint="eastAsia"/>
                <w:color w:val="000000"/>
                <w:kern w:val="0"/>
                <w:sz w:val="22"/>
                <w:szCs w:val="22"/>
              </w:rPr>
              <w:t>”）；区级所属单位，隶属关系全都为该区。</w:t>
            </w:r>
          </w:p>
        </w:tc>
        <w:tc>
          <w:tcPr>
            <w:tcW w:w="2762" w:type="dxa"/>
            <w:tcBorders>
              <w:top w:val="nil"/>
              <w:left w:val="nil"/>
              <w:bottom w:val="single" w:sz="4" w:space="0" w:color="auto"/>
              <w:right w:val="single" w:sz="4" w:space="0" w:color="auto"/>
            </w:tcBorders>
            <w:shd w:val="clear" w:color="auto" w:fill="auto"/>
            <w:vAlign w:val="center"/>
          </w:tcPr>
          <w:p w14:paraId="26DA161E"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审核通过</w:t>
            </w:r>
            <w:r>
              <w:rPr>
                <w:rFonts w:ascii="宋体" w:hAnsi="宋体" w:cs="宋体" w:hint="eastAsia"/>
                <w:color w:val="000000"/>
                <w:kern w:val="0"/>
                <w:sz w:val="22"/>
                <w:szCs w:val="22"/>
              </w:rPr>
              <w:t>/</w:t>
            </w:r>
            <w:r>
              <w:rPr>
                <w:rFonts w:ascii="宋体" w:hAnsi="宋体" w:cs="宋体" w:hint="eastAsia"/>
                <w:color w:val="000000"/>
                <w:kern w:val="0"/>
                <w:sz w:val="22"/>
                <w:szCs w:val="22"/>
              </w:rPr>
              <w:t>审核不通过</w:t>
            </w:r>
          </w:p>
        </w:tc>
        <w:tc>
          <w:tcPr>
            <w:tcW w:w="2753" w:type="dxa"/>
            <w:tcBorders>
              <w:top w:val="nil"/>
              <w:left w:val="nil"/>
              <w:bottom w:val="single" w:sz="4" w:space="0" w:color="auto"/>
              <w:right w:val="single" w:sz="4" w:space="0" w:color="auto"/>
            </w:tcBorders>
            <w:shd w:val="clear" w:color="auto" w:fill="auto"/>
            <w:vAlign w:val="center"/>
          </w:tcPr>
          <w:p w14:paraId="178F3C5E" w14:textId="77777777" w:rsidR="004F0BA5" w:rsidRDefault="004F0BA5">
            <w:pPr>
              <w:widowControl/>
              <w:jc w:val="left"/>
              <w:rPr>
                <w:rFonts w:ascii="宋体" w:hAnsi="宋体" w:cs="宋体"/>
                <w:color w:val="000000"/>
                <w:kern w:val="0"/>
                <w:sz w:val="22"/>
                <w:szCs w:val="22"/>
              </w:rPr>
            </w:pPr>
          </w:p>
        </w:tc>
      </w:tr>
      <w:tr w:rsidR="004F0BA5" w14:paraId="7C56008C" w14:textId="77777777">
        <w:trPr>
          <w:cantSplit/>
          <w:trHeight w:val="675"/>
        </w:trPr>
        <w:tc>
          <w:tcPr>
            <w:tcW w:w="1414" w:type="dxa"/>
            <w:vMerge w:val="restart"/>
            <w:tcBorders>
              <w:top w:val="nil"/>
              <w:left w:val="single" w:sz="4" w:space="0" w:color="auto"/>
              <w:bottom w:val="single" w:sz="4" w:space="0" w:color="auto"/>
              <w:right w:val="single" w:sz="4" w:space="0" w:color="auto"/>
            </w:tcBorders>
            <w:shd w:val="clear" w:color="auto" w:fill="auto"/>
            <w:vAlign w:val="center"/>
          </w:tcPr>
          <w:p w14:paraId="6F9A96C1"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三、上下年数据变动合理性</w:t>
            </w:r>
          </w:p>
        </w:tc>
        <w:tc>
          <w:tcPr>
            <w:tcW w:w="2511" w:type="dxa"/>
            <w:tcBorders>
              <w:top w:val="nil"/>
              <w:left w:val="nil"/>
              <w:bottom w:val="single" w:sz="4" w:space="0" w:color="auto"/>
              <w:right w:val="single" w:sz="4" w:space="0" w:color="auto"/>
            </w:tcBorders>
            <w:shd w:val="clear" w:color="auto" w:fill="auto"/>
            <w:vAlign w:val="center"/>
          </w:tcPr>
          <w:p w14:paraId="18964DFF"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（一）报送户数变动合理。</w:t>
            </w:r>
          </w:p>
        </w:tc>
        <w:tc>
          <w:tcPr>
            <w:tcW w:w="4508" w:type="dxa"/>
            <w:tcBorders>
              <w:top w:val="nil"/>
              <w:left w:val="nil"/>
              <w:bottom w:val="single" w:sz="4" w:space="0" w:color="auto"/>
              <w:right w:val="single" w:sz="4" w:space="0" w:color="auto"/>
            </w:tcBorders>
            <w:shd w:val="clear" w:color="auto" w:fill="auto"/>
            <w:vAlign w:val="center"/>
          </w:tcPr>
          <w:p w14:paraId="593AE80E"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上下年度数据衔接一致，两年报送的单户数量变化合理，差异过大应当说明。</w:t>
            </w:r>
          </w:p>
        </w:tc>
        <w:tc>
          <w:tcPr>
            <w:tcW w:w="2762" w:type="dxa"/>
            <w:tcBorders>
              <w:top w:val="nil"/>
              <w:left w:val="nil"/>
              <w:bottom w:val="single" w:sz="4" w:space="0" w:color="auto"/>
              <w:right w:val="single" w:sz="4" w:space="0" w:color="auto"/>
            </w:tcBorders>
            <w:shd w:val="clear" w:color="auto" w:fill="auto"/>
            <w:vAlign w:val="center"/>
          </w:tcPr>
          <w:p w14:paraId="43E558AC"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差异在</w:t>
            </w:r>
            <w:r>
              <w:rPr>
                <w:rFonts w:ascii="宋体" w:hAnsi="宋体" w:cs="宋体" w:hint="eastAsia"/>
                <w:color w:val="000000"/>
                <w:kern w:val="0"/>
                <w:sz w:val="22"/>
                <w:szCs w:val="22"/>
              </w:rPr>
              <w:t>1</w:t>
            </w:r>
            <w:r>
              <w:rPr>
                <w:rFonts w:ascii="宋体" w:hAnsi="宋体" w:cs="宋体"/>
                <w:color w:val="000000"/>
                <w:kern w:val="0"/>
                <w:sz w:val="22"/>
                <w:szCs w:val="22"/>
              </w:rPr>
              <w:t>0</w:t>
            </w:r>
            <w:r>
              <w:rPr>
                <w:rFonts w:ascii="宋体" w:hAnsi="宋体" w:cs="宋体" w:hint="eastAsia"/>
                <w:color w:val="000000"/>
                <w:kern w:val="0"/>
                <w:sz w:val="22"/>
                <w:szCs w:val="22"/>
              </w:rPr>
              <w:t>%</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5087946D" w14:textId="77777777" w:rsidR="004F0BA5" w:rsidRDefault="004F0BA5">
            <w:pPr>
              <w:widowControl/>
              <w:jc w:val="left"/>
              <w:rPr>
                <w:rFonts w:ascii="宋体" w:hAnsi="宋体" w:cs="宋体"/>
                <w:color w:val="000000"/>
                <w:kern w:val="0"/>
                <w:sz w:val="22"/>
                <w:szCs w:val="22"/>
              </w:rPr>
            </w:pPr>
          </w:p>
        </w:tc>
      </w:tr>
      <w:tr w:rsidR="004F0BA5" w14:paraId="09030096" w14:textId="77777777">
        <w:trPr>
          <w:cantSplit/>
          <w:trHeight w:val="675"/>
        </w:trPr>
        <w:tc>
          <w:tcPr>
            <w:tcW w:w="1414" w:type="dxa"/>
            <w:vMerge/>
            <w:tcBorders>
              <w:top w:val="nil"/>
              <w:left w:val="single" w:sz="4" w:space="0" w:color="auto"/>
              <w:bottom w:val="single" w:sz="4" w:space="0" w:color="auto"/>
              <w:right w:val="single" w:sz="4" w:space="0" w:color="auto"/>
            </w:tcBorders>
            <w:shd w:val="clear" w:color="auto" w:fill="auto"/>
            <w:vAlign w:val="center"/>
          </w:tcPr>
          <w:p w14:paraId="0A5FEABB"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1CBCC2C1"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（二）年末总资产账面金额变动合理</w:t>
            </w:r>
          </w:p>
        </w:tc>
        <w:tc>
          <w:tcPr>
            <w:tcW w:w="4508" w:type="dxa"/>
            <w:tcBorders>
              <w:top w:val="nil"/>
              <w:left w:val="nil"/>
              <w:bottom w:val="single" w:sz="4" w:space="0" w:color="auto"/>
              <w:right w:val="single" w:sz="4" w:space="0" w:color="auto"/>
            </w:tcBorders>
            <w:shd w:val="clear" w:color="auto" w:fill="auto"/>
            <w:vAlign w:val="center"/>
          </w:tcPr>
          <w:p w14:paraId="10883025"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上下年度数据衔接一致，年末总资产账面金额变化合理，差异过大应当说明。</w:t>
            </w:r>
          </w:p>
        </w:tc>
        <w:tc>
          <w:tcPr>
            <w:tcW w:w="2762" w:type="dxa"/>
            <w:tcBorders>
              <w:top w:val="nil"/>
              <w:left w:val="nil"/>
              <w:bottom w:val="single" w:sz="4" w:space="0" w:color="auto"/>
              <w:right w:val="single" w:sz="4" w:space="0" w:color="auto"/>
            </w:tcBorders>
            <w:shd w:val="clear" w:color="auto" w:fill="auto"/>
            <w:vAlign w:val="center"/>
          </w:tcPr>
          <w:p w14:paraId="53ABC099"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7F08A085" w14:textId="77777777" w:rsidR="004F0BA5" w:rsidRDefault="004F0BA5">
            <w:pPr>
              <w:widowControl/>
              <w:jc w:val="left"/>
              <w:rPr>
                <w:rFonts w:ascii="宋体" w:hAnsi="宋体" w:cs="宋体"/>
                <w:color w:val="000000"/>
                <w:kern w:val="0"/>
                <w:sz w:val="22"/>
                <w:szCs w:val="22"/>
              </w:rPr>
            </w:pPr>
          </w:p>
        </w:tc>
      </w:tr>
      <w:tr w:rsidR="004F0BA5" w14:paraId="599D9373" w14:textId="77777777">
        <w:trPr>
          <w:cantSplit/>
          <w:trHeight w:val="900"/>
        </w:trPr>
        <w:tc>
          <w:tcPr>
            <w:tcW w:w="1414" w:type="dxa"/>
            <w:vMerge w:val="restart"/>
            <w:tcBorders>
              <w:top w:val="nil"/>
              <w:left w:val="single" w:sz="4" w:space="0" w:color="auto"/>
              <w:bottom w:val="single" w:sz="4" w:space="0" w:color="000000"/>
              <w:right w:val="single" w:sz="4" w:space="0" w:color="auto"/>
            </w:tcBorders>
            <w:shd w:val="clear" w:color="auto" w:fill="auto"/>
            <w:vAlign w:val="center"/>
          </w:tcPr>
          <w:p w14:paraId="533A2E1E"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四、业务数据的准确性，同口径数据一致</w:t>
            </w:r>
          </w:p>
        </w:tc>
        <w:tc>
          <w:tcPr>
            <w:tcW w:w="2511" w:type="dxa"/>
            <w:tcBorders>
              <w:top w:val="nil"/>
              <w:left w:val="nil"/>
              <w:bottom w:val="single" w:sz="4" w:space="0" w:color="auto"/>
              <w:right w:val="single" w:sz="4" w:space="0" w:color="auto"/>
            </w:tcBorders>
            <w:shd w:val="clear" w:color="auto" w:fill="auto"/>
            <w:vAlign w:val="center"/>
          </w:tcPr>
          <w:p w14:paraId="7A081481"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（一）“年末在职人数”核对</w:t>
            </w:r>
          </w:p>
        </w:tc>
        <w:tc>
          <w:tcPr>
            <w:tcW w:w="4508" w:type="dxa"/>
            <w:tcBorders>
              <w:top w:val="nil"/>
              <w:left w:val="nil"/>
              <w:bottom w:val="single" w:sz="4" w:space="0" w:color="auto"/>
              <w:right w:val="single" w:sz="4" w:space="0" w:color="auto"/>
            </w:tcBorders>
            <w:shd w:val="clear" w:color="auto" w:fill="auto"/>
            <w:vAlign w:val="center"/>
          </w:tcPr>
          <w:p w14:paraId="23079060"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“年末在职人数”应当与部门决算《基本数字表》（财决附</w:t>
            </w:r>
            <w:r>
              <w:rPr>
                <w:rFonts w:ascii="宋体" w:hAnsi="宋体" w:cs="宋体" w:hint="eastAsia"/>
                <w:color w:val="000000"/>
                <w:kern w:val="0"/>
                <w:sz w:val="22"/>
                <w:szCs w:val="22"/>
              </w:rPr>
              <w:t>02</w:t>
            </w:r>
            <w:r>
              <w:rPr>
                <w:rFonts w:ascii="宋体" w:hAnsi="宋体" w:cs="宋体" w:hint="eastAsia"/>
                <w:color w:val="000000"/>
                <w:kern w:val="0"/>
                <w:sz w:val="22"/>
                <w:szCs w:val="22"/>
              </w:rPr>
              <w:t>表）第</w:t>
            </w:r>
            <w:r>
              <w:rPr>
                <w:rFonts w:ascii="宋体" w:hAnsi="宋体" w:cs="宋体" w:hint="eastAsia"/>
                <w:color w:val="000000"/>
                <w:kern w:val="0"/>
                <w:sz w:val="22"/>
                <w:szCs w:val="22"/>
              </w:rPr>
              <w:t>4</w:t>
            </w:r>
            <w:r>
              <w:rPr>
                <w:rFonts w:ascii="宋体" w:hAnsi="宋体" w:cs="宋体" w:hint="eastAsia"/>
                <w:color w:val="000000"/>
                <w:kern w:val="0"/>
                <w:sz w:val="22"/>
                <w:szCs w:val="22"/>
              </w:rPr>
              <w:t>栏合计数一致，即“年末职工人数”中“人员总计”的“在职人员”合计数。</w:t>
            </w:r>
          </w:p>
        </w:tc>
        <w:tc>
          <w:tcPr>
            <w:tcW w:w="2762" w:type="dxa"/>
            <w:tcBorders>
              <w:top w:val="nil"/>
              <w:left w:val="nil"/>
              <w:bottom w:val="single" w:sz="4" w:space="0" w:color="auto"/>
              <w:right w:val="single" w:sz="4" w:space="0" w:color="auto"/>
            </w:tcBorders>
            <w:shd w:val="clear" w:color="auto" w:fill="auto"/>
            <w:vAlign w:val="center"/>
          </w:tcPr>
          <w:p w14:paraId="743A81EC"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w:t>
            </w:r>
            <w:r>
              <w:rPr>
                <w:rFonts w:ascii="宋体" w:hAnsi="宋体" w:cs="宋体"/>
                <w:color w:val="000000"/>
                <w:kern w:val="0"/>
                <w:sz w:val="22"/>
                <w:szCs w:val="22"/>
              </w:rPr>
              <w:t>0</w:t>
            </w:r>
            <w:r>
              <w:rPr>
                <w:rFonts w:ascii="宋体" w:hAnsi="宋体" w:cs="宋体" w:hint="eastAsia"/>
                <w:color w:val="000000"/>
                <w:kern w:val="0"/>
                <w:sz w:val="22"/>
                <w:szCs w:val="22"/>
              </w:rPr>
              <w:t>%</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03972CC7" w14:textId="77777777" w:rsidR="004F0BA5" w:rsidRDefault="004F0BA5">
            <w:pPr>
              <w:widowControl/>
              <w:jc w:val="left"/>
              <w:rPr>
                <w:rFonts w:ascii="宋体" w:hAnsi="宋体" w:cs="宋体"/>
                <w:color w:val="000000"/>
                <w:kern w:val="0"/>
                <w:sz w:val="22"/>
                <w:szCs w:val="22"/>
              </w:rPr>
            </w:pPr>
          </w:p>
        </w:tc>
      </w:tr>
      <w:tr w:rsidR="004F0BA5" w14:paraId="441EE8F0" w14:textId="77777777">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0D2E95B9"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4F327FBF"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（二）“应上缴非税收入金额”核对</w:t>
            </w:r>
          </w:p>
        </w:tc>
        <w:tc>
          <w:tcPr>
            <w:tcW w:w="4508" w:type="dxa"/>
            <w:tcBorders>
              <w:top w:val="nil"/>
              <w:left w:val="nil"/>
              <w:bottom w:val="single" w:sz="4" w:space="0" w:color="auto"/>
              <w:right w:val="single" w:sz="4" w:space="0" w:color="auto"/>
            </w:tcBorders>
            <w:shd w:val="clear" w:color="auto" w:fill="auto"/>
            <w:vAlign w:val="center"/>
          </w:tcPr>
          <w:p w14:paraId="5F5B9C4D"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“应上缴非税收入金额”应当与决算报表的《非税收入征缴情况表》（财决附</w:t>
            </w:r>
            <w:r>
              <w:rPr>
                <w:rFonts w:ascii="宋体" w:hAnsi="宋体" w:cs="宋体" w:hint="eastAsia"/>
                <w:color w:val="000000"/>
                <w:kern w:val="0"/>
                <w:sz w:val="22"/>
                <w:szCs w:val="22"/>
              </w:rPr>
              <w:t>04</w:t>
            </w:r>
            <w:r>
              <w:rPr>
                <w:rFonts w:ascii="宋体" w:hAnsi="宋体" w:cs="宋体" w:hint="eastAsia"/>
                <w:color w:val="000000"/>
                <w:kern w:val="0"/>
                <w:sz w:val="22"/>
                <w:szCs w:val="22"/>
              </w:rPr>
              <w:t>表）中纳入预算管理以及纳入财政专户管理的非税收入合计数一致，即表第</w:t>
            </w:r>
            <w:r>
              <w:rPr>
                <w:rFonts w:ascii="宋体" w:hAnsi="宋体" w:cs="宋体" w:hint="eastAsia"/>
                <w:color w:val="000000"/>
                <w:kern w:val="0"/>
                <w:sz w:val="22"/>
                <w:szCs w:val="22"/>
              </w:rPr>
              <w:t>2</w:t>
            </w:r>
            <w:r>
              <w:rPr>
                <w:rFonts w:ascii="宋体" w:hAnsi="宋体" w:cs="宋体" w:hint="eastAsia"/>
                <w:color w:val="000000"/>
                <w:kern w:val="0"/>
                <w:sz w:val="22"/>
                <w:szCs w:val="22"/>
              </w:rPr>
              <w:t>栏次第</w:t>
            </w:r>
            <w:r>
              <w:rPr>
                <w:rFonts w:ascii="宋体" w:hAnsi="宋体" w:cs="宋体" w:hint="eastAsia"/>
                <w:color w:val="000000"/>
                <w:kern w:val="0"/>
                <w:sz w:val="22"/>
                <w:szCs w:val="22"/>
              </w:rPr>
              <w:t>1</w:t>
            </w:r>
            <w:r>
              <w:rPr>
                <w:rFonts w:ascii="宋体" w:hAnsi="宋体" w:cs="宋体" w:hint="eastAsia"/>
                <w:color w:val="000000"/>
                <w:kern w:val="0"/>
                <w:sz w:val="22"/>
                <w:szCs w:val="22"/>
              </w:rPr>
              <w:t>行合计数加第</w:t>
            </w:r>
            <w:r>
              <w:rPr>
                <w:rFonts w:ascii="宋体" w:hAnsi="宋体" w:cs="宋体" w:hint="eastAsia"/>
                <w:color w:val="000000"/>
                <w:kern w:val="0"/>
                <w:sz w:val="22"/>
                <w:szCs w:val="22"/>
              </w:rPr>
              <w:t>7</w:t>
            </w:r>
            <w:r>
              <w:rPr>
                <w:rFonts w:ascii="宋体" w:hAnsi="宋体" w:cs="宋体" w:hint="eastAsia"/>
                <w:color w:val="000000"/>
                <w:kern w:val="0"/>
                <w:sz w:val="22"/>
                <w:szCs w:val="22"/>
              </w:rPr>
              <w:t>栏次第</w:t>
            </w:r>
            <w:r>
              <w:rPr>
                <w:rFonts w:ascii="宋体" w:hAnsi="宋体" w:cs="宋体" w:hint="eastAsia"/>
                <w:color w:val="000000"/>
                <w:kern w:val="0"/>
                <w:sz w:val="22"/>
                <w:szCs w:val="22"/>
              </w:rPr>
              <w:t>1</w:t>
            </w:r>
            <w:r>
              <w:rPr>
                <w:rFonts w:ascii="宋体" w:hAnsi="宋体" w:cs="宋体" w:hint="eastAsia"/>
                <w:color w:val="000000"/>
                <w:kern w:val="0"/>
                <w:sz w:val="22"/>
                <w:szCs w:val="22"/>
              </w:rPr>
              <w:t>行合计数（单位：元）。</w:t>
            </w:r>
          </w:p>
        </w:tc>
        <w:tc>
          <w:tcPr>
            <w:tcW w:w="2762" w:type="dxa"/>
            <w:tcBorders>
              <w:top w:val="nil"/>
              <w:left w:val="nil"/>
              <w:bottom w:val="single" w:sz="4" w:space="0" w:color="auto"/>
              <w:right w:val="single" w:sz="4" w:space="0" w:color="auto"/>
            </w:tcBorders>
            <w:shd w:val="clear" w:color="auto" w:fill="auto"/>
            <w:vAlign w:val="center"/>
          </w:tcPr>
          <w:p w14:paraId="58880E9D"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76A5724D" w14:textId="77777777" w:rsidR="004F0BA5" w:rsidRDefault="004F0BA5">
            <w:pPr>
              <w:widowControl/>
              <w:jc w:val="left"/>
              <w:rPr>
                <w:rFonts w:ascii="宋体" w:hAnsi="宋体" w:cs="宋体"/>
                <w:color w:val="000000"/>
                <w:kern w:val="0"/>
                <w:sz w:val="22"/>
                <w:szCs w:val="22"/>
              </w:rPr>
            </w:pPr>
          </w:p>
        </w:tc>
      </w:tr>
      <w:tr w:rsidR="004F0BA5" w14:paraId="5ADC1C60" w14:textId="77777777">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70DB077E"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1DBB517B"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（三）“实际上缴非税收入金额”核对</w:t>
            </w:r>
          </w:p>
        </w:tc>
        <w:tc>
          <w:tcPr>
            <w:tcW w:w="4508" w:type="dxa"/>
            <w:tcBorders>
              <w:top w:val="nil"/>
              <w:left w:val="nil"/>
              <w:bottom w:val="single" w:sz="4" w:space="0" w:color="auto"/>
              <w:right w:val="single" w:sz="4" w:space="0" w:color="auto"/>
            </w:tcBorders>
            <w:shd w:val="clear" w:color="auto" w:fill="auto"/>
            <w:vAlign w:val="center"/>
          </w:tcPr>
          <w:p w14:paraId="363193F5"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“实际上缴非税收入”应当与决算报表的《非税收入征缴情况表》（财决附</w:t>
            </w:r>
            <w:r>
              <w:rPr>
                <w:rFonts w:ascii="宋体" w:hAnsi="宋体" w:cs="宋体" w:hint="eastAsia"/>
                <w:color w:val="000000"/>
                <w:kern w:val="0"/>
                <w:sz w:val="22"/>
                <w:szCs w:val="22"/>
              </w:rPr>
              <w:t>04</w:t>
            </w:r>
            <w:r>
              <w:rPr>
                <w:rFonts w:ascii="宋体" w:hAnsi="宋体" w:cs="宋体" w:hint="eastAsia"/>
                <w:color w:val="000000"/>
                <w:kern w:val="0"/>
                <w:sz w:val="22"/>
                <w:szCs w:val="22"/>
              </w:rPr>
              <w:t>表）中纳入预算管理的已缴国库小计数及纳入财政专户管理的已缴财政专户小计数之和一致，即表第</w:t>
            </w:r>
            <w:r>
              <w:rPr>
                <w:rFonts w:ascii="宋体" w:hAnsi="宋体" w:cs="宋体" w:hint="eastAsia"/>
                <w:color w:val="000000"/>
                <w:kern w:val="0"/>
                <w:sz w:val="22"/>
                <w:szCs w:val="22"/>
              </w:rPr>
              <w:t>3</w:t>
            </w:r>
            <w:r>
              <w:rPr>
                <w:rFonts w:ascii="宋体" w:hAnsi="宋体" w:cs="宋体" w:hint="eastAsia"/>
                <w:color w:val="000000"/>
                <w:kern w:val="0"/>
                <w:sz w:val="22"/>
                <w:szCs w:val="22"/>
              </w:rPr>
              <w:t>栏次第</w:t>
            </w:r>
            <w:r>
              <w:rPr>
                <w:rFonts w:ascii="宋体" w:hAnsi="宋体" w:cs="宋体" w:hint="eastAsia"/>
                <w:color w:val="000000"/>
                <w:kern w:val="0"/>
                <w:sz w:val="22"/>
                <w:szCs w:val="22"/>
              </w:rPr>
              <w:t>1</w:t>
            </w:r>
            <w:r>
              <w:rPr>
                <w:rFonts w:ascii="宋体" w:hAnsi="宋体" w:cs="宋体" w:hint="eastAsia"/>
                <w:color w:val="000000"/>
                <w:kern w:val="0"/>
                <w:sz w:val="22"/>
                <w:szCs w:val="22"/>
              </w:rPr>
              <w:t>行合计数加第</w:t>
            </w:r>
            <w:r>
              <w:rPr>
                <w:rFonts w:ascii="宋体" w:hAnsi="宋体" w:cs="宋体" w:hint="eastAsia"/>
                <w:color w:val="000000"/>
                <w:kern w:val="0"/>
                <w:sz w:val="22"/>
                <w:szCs w:val="22"/>
              </w:rPr>
              <w:t>8</w:t>
            </w:r>
            <w:r>
              <w:rPr>
                <w:rFonts w:ascii="宋体" w:hAnsi="宋体" w:cs="宋体" w:hint="eastAsia"/>
                <w:color w:val="000000"/>
                <w:kern w:val="0"/>
                <w:sz w:val="22"/>
                <w:szCs w:val="22"/>
              </w:rPr>
              <w:t>栏次第</w:t>
            </w:r>
            <w:r>
              <w:rPr>
                <w:rFonts w:ascii="宋体" w:hAnsi="宋体" w:cs="宋体" w:hint="eastAsia"/>
                <w:color w:val="000000"/>
                <w:kern w:val="0"/>
                <w:sz w:val="22"/>
                <w:szCs w:val="22"/>
              </w:rPr>
              <w:t>1</w:t>
            </w:r>
            <w:r>
              <w:rPr>
                <w:rFonts w:ascii="宋体" w:hAnsi="宋体" w:cs="宋体" w:hint="eastAsia"/>
                <w:color w:val="000000"/>
                <w:kern w:val="0"/>
                <w:sz w:val="22"/>
                <w:szCs w:val="22"/>
              </w:rPr>
              <w:t>行合计数（单位：元）。</w:t>
            </w:r>
          </w:p>
        </w:tc>
        <w:tc>
          <w:tcPr>
            <w:tcW w:w="2762" w:type="dxa"/>
            <w:tcBorders>
              <w:top w:val="nil"/>
              <w:left w:val="nil"/>
              <w:bottom w:val="single" w:sz="4" w:space="0" w:color="auto"/>
              <w:right w:val="single" w:sz="4" w:space="0" w:color="auto"/>
            </w:tcBorders>
            <w:shd w:val="clear" w:color="auto" w:fill="auto"/>
            <w:vAlign w:val="center"/>
          </w:tcPr>
          <w:p w14:paraId="2705E14B"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27A0B212" w14:textId="77777777" w:rsidR="004F0BA5" w:rsidRDefault="004F0BA5">
            <w:pPr>
              <w:widowControl/>
              <w:jc w:val="left"/>
              <w:rPr>
                <w:rFonts w:ascii="宋体" w:hAnsi="宋体" w:cs="宋体"/>
                <w:color w:val="000000"/>
                <w:kern w:val="0"/>
                <w:sz w:val="22"/>
                <w:szCs w:val="22"/>
              </w:rPr>
            </w:pPr>
          </w:p>
        </w:tc>
      </w:tr>
      <w:tr w:rsidR="004F0BA5" w14:paraId="2EC7B220" w14:textId="77777777">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493985C9"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3ECE53F9"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（四）“本年支出预算金额”核对</w:t>
            </w:r>
          </w:p>
        </w:tc>
        <w:tc>
          <w:tcPr>
            <w:tcW w:w="4508" w:type="dxa"/>
            <w:tcBorders>
              <w:top w:val="nil"/>
              <w:left w:val="nil"/>
              <w:bottom w:val="single" w:sz="4" w:space="0" w:color="auto"/>
              <w:right w:val="single" w:sz="4" w:space="0" w:color="auto"/>
            </w:tcBorders>
            <w:shd w:val="clear" w:color="auto" w:fill="auto"/>
            <w:vAlign w:val="center"/>
          </w:tcPr>
          <w:p w14:paraId="0C785D23"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“本年支出预算金额”，应当与本年决算报表的《收入支出决算总表》（财决</w:t>
            </w:r>
            <w:r>
              <w:rPr>
                <w:rFonts w:ascii="宋体" w:hAnsi="宋体" w:cs="宋体" w:hint="eastAsia"/>
                <w:color w:val="000000"/>
                <w:kern w:val="0"/>
                <w:sz w:val="22"/>
                <w:szCs w:val="22"/>
              </w:rPr>
              <w:t>01</w:t>
            </w:r>
            <w:r>
              <w:rPr>
                <w:rFonts w:ascii="宋体" w:hAnsi="宋体" w:cs="宋体" w:hint="eastAsia"/>
                <w:color w:val="000000"/>
                <w:kern w:val="0"/>
                <w:sz w:val="22"/>
                <w:szCs w:val="22"/>
              </w:rPr>
              <w:t>表）中本年支出的调整预算数一致，即表第</w:t>
            </w:r>
            <w:r>
              <w:rPr>
                <w:rFonts w:ascii="宋体" w:hAnsi="宋体" w:cs="宋体" w:hint="eastAsia"/>
                <w:color w:val="000000"/>
                <w:kern w:val="0"/>
                <w:sz w:val="22"/>
                <w:szCs w:val="22"/>
              </w:rPr>
              <w:t>8</w:t>
            </w:r>
            <w:r>
              <w:rPr>
                <w:rFonts w:ascii="宋体" w:hAnsi="宋体" w:cs="宋体" w:hint="eastAsia"/>
                <w:color w:val="000000"/>
                <w:kern w:val="0"/>
                <w:sz w:val="22"/>
                <w:szCs w:val="22"/>
              </w:rPr>
              <w:t>栏次第</w:t>
            </w:r>
            <w:r>
              <w:rPr>
                <w:rFonts w:ascii="宋体" w:hAnsi="宋体" w:cs="宋体" w:hint="eastAsia"/>
                <w:color w:val="000000"/>
                <w:kern w:val="0"/>
                <w:sz w:val="22"/>
                <w:szCs w:val="22"/>
              </w:rPr>
              <w:t>84</w:t>
            </w:r>
            <w:r>
              <w:rPr>
                <w:rFonts w:ascii="宋体" w:hAnsi="宋体" w:cs="宋体" w:hint="eastAsia"/>
                <w:color w:val="000000"/>
                <w:kern w:val="0"/>
                <w:sz w:val="22"/>
                <w:szCs w:val="22"/>
              </w:rPr>
              <w:t>行合计数（单位：元）</w:t>
            </w:r>
          </w:p>
        </w:tc>
        <w:tc>
          <w:tcPr>
            <w:tcW w:w="2762" w:type="dxa"/>
            <w:tcBorders>
              <w:top w:val="nil"/>
              <w:left w:val="nil"/>
              <w:bottom w:val="single" w:sz="4" w:space="0" w:color="auto"/>
              <w:right w:val="single" w:sz="4" w:space="0" w:color="auto"/>
            </w:tcBorders>
            <w:shd w:val="clear" w:color="auto" w:fill="auto"/>
            <w:vAlign w:val="center"/>
          </w:tcPr>
          <w:p w14:paraId="0099CDDA"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277AD846" w14:textId="77777777" w:rsidR="004F0BA5" w:rsidRDefault="004F0BA5">
            <w:pPr>
              <w:widowControl/>
              <w:jc w:val="left"/>
              <w:rPr>
                <w:rFonts w:ascii="宋体" w:hAnsi="宋体" w:cs="宋体"/>
                <w:color w:val="000000"/>
                <w:kern w:val="0"/>
                <w:sz w:val="22"/>
                <w:szCs w:val="22"/>
              </w:rPr>
            </w:pPr>
          </w:p>
        </w:tc>
      </w:tr>
      <w:tr w:rsidR="004F0BA5" w14:paraId="652C6C38" w14:textId="77777777">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3E09398C"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02F18FBC"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（五）“本年实际支出总额”核对</w:t>
            </w:r>
          </w:p>
        </w:tc>
        <w:tc>
          <w:tcPr>
            <w:tcW w:w="4508" w:type="dxa"/>
            <w:tcBorders>
              <w:top w:val="nil"/>
              <w:left w:val="nil"/>
              <w:bottom w:val="single" w:sz="4" w:space="0" w:color="auto"/>
              <w:right w:val="single" w:sz="4" w:space="0" w:color="auto"/>
            </w:tcBorders>
            <w:shd w:val="clear" w:color="auto" w:fill="auto"/>
            <w:vAlign w:val="center"/>
          </w:tcPr>
          <w:p w14:paraId="0823CF41"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“本年实际支出总额”应当与</w:t>
            </w:r>
            <w:r>
              <w:rPr>
                <w:rFonts w:ascii="宋体" w:hAnsi="宋体" w:cs="宋体" w:hint="eastAsia"/>
                <w:color w:val="000000"/>
                <w:kern w:val="0"/>
                <w:sz w:val="22"/>
                <w:szCs w:val="22"/>
              </w:rPr>
              <w:t>202</w:t>
            </w:r>
            <w:r>
              <w:rPr>
                <w:rFonts w:ascii="宋体" w:hAnsi="宋体" w:cs="宋体" w:hint="eastAsia"/>
                <w:color w:val="000000"/>
                <w:kern w:val="0"/>
                <w:sz w:val="22"/>
                <w:szCs w:val="22"/>
              </w:rPr>
              <w:t>1</w:t>
            </w:r>
            <w:r>
              <w:rPr>
                <w:rFonts w:ascii="宋体" w:hAnsi="宋体" w:cs="宋体" w:hint="eastAsia"/>
                <w:color w:val="000000"/>
                <w:kern w:val="0"/>
                <w:sz w:val="22"/>
                <w:szCs w:val="22"/>
              </w:rPr>
              <w:t>年决算报表的《收入支出决算总表》（财决</w:t>
            </w:r>
            <w:r>
              <w:rPr>
                <w:rFonts w:ascii="宋体" w:hAnsi="宋体" w:cs="宋体" w:hint="eastAsia"/>
                <w:color w:val="000000"/>
                <w:kern w:val="0"/>
                <w:sz w:val="22"/>
                <w:szCs w:val="22"/>
              </w:rPr>
              <w:t>01</w:t>
            </w:r>
            <w:r>
              <w:rPr>
                <w:rFonts w:ascii="宋体" w:hAnsi="宋体" w:cs="宋体" w:hint="eastAsia"/>
                <w:color w:val="000000"/>
                <w:kern w:val="0"/>
                <w:sz w:val="22"/>
                <w:szCs w:val="22"/>
              </w:rPr>
              <w:t>表）中本年支出的决算数一致，即表第</w:t>
            </w:r>
            <w:r>
              <w:rPr>
                <w:rFonts w:ascii="宋体" w:hAnsi="宋体" w:cs="宋体" w:hint="eastAsia"/>
                <w:color w:val="000000"/>
                <w:kern w:val="0"/>
                <w:sz w:val="22"/>
                <w:szCs w:val="22"/>
              </w:rPr>
              <w:t>9</w:t>
            </w:r>
            <w:r>
              <w:rPr>
                <w:rFonts w:ascii="宋体" w:hAnsi="宋体" w:cs="宋体" w:hint="eastAsia"/>
                <w:color w:val="000000"/>
                <w:kern w:val="0"/>
                <w:sz w:val="22"/>
                <w:szCs w:val="22"/>
              </w:rPr>
              <w:t>栏次第</w:t>
            </w:r>
            <w:r>
              <w:rPr>
                <w:rFonts w:ascii="宋体" w:hAnsi="宋体" w:cs="宋体" w:hint="eastAsia"/>
                <w:color w:val="000000"/>
                <w:kern w:val="0"/>
                <w:sz w:val="22"/>
                <w:szCs w:val="22"/>
              </w:rPr>
              <w:t>84</w:t>
            </w:r>
            <w:r>
              <w:rPr>
                <w:rFonts w:ascii="宋体" w:hAnsi="宋体" w:cs="宋体" w:hint="eastAsia"/>
                <w:color w:val="000000"/>
                <w:kern w:val="0"/>
                <w:sz w:val="22"/>
                <w:szCs w:val="22"/>
              </w:rPr>
              <w:t>行合计数（单位：元）。</w:t>
            </w:r>
          </w:p>
        </w:tc>
        <w:tc>
          <w:tcPr>
            <w:tcW w:w="2762" w:type="dxa"/>
            <w:tcBorders>
              <w:top w:val="nil"/>
              <w:left w:val="nil"/>
              <w:bottom w:val="single" w:sz="4" w:space="0" w:color="auto"/>
              <w:right w:val="single" w:sz="4" w:space="0" w:color="auto"/>
            </w:tcBorders>
            <w:shd w:val="clear" w:color="auto" w:fill="auto"/>
            <w:vAlign w:val="center"/>
          </w:tcPr>
          <w:p w14:paraId="60D2ADAE"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0D5DDE78" w14:textId="77777777" w:rsidR="004F0BA5" w:rsidRDefault="004F0BA5">
            <w:pPr>
              <w:widowControl/>
              <w:jc w:val="left"/>
              <w:rPr>
                <w:rFonts w:ascii="宋体" w:hAnsi="宋体" w:cs="宋体"/>
                <w:color w:val="000000"/>
                <w:kern w:val="0"/>
                <w:sz w:val="22"/>
                <w:szCs w:val="22"/>
              </w:rPr>
            </w:pPr>
          </w:p>
        </w:tc>
      </w:tr>
      <w:tr w:rsidR="004F0BA5" w14:paraId="218AF12E" w14:textId="77777777">
        <w:trPr>
          <w:cantSplit/>
          <w:trHeight w:val="1200"/>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74409D3F" w14:textId="77777777" w:rsidR="004F0BA5" w:rsidRDefault="004F0BA5">
            <w:pPr>
              <w:widowControl/>
              <w:jc w:val="left"/>
              <w:rPr>
                <w:rFonts w:ascii="宋体" w:hAnsi="宋体" w:cs="宋体"/>
                <w:color w:val="000000"/>
                <w:kern w:val="0"/>
                <w:sz w:val="22"/>
                <w:szCs w:val="22"/>
              </w:rPr>
            </w:pPr>
          </w:p>
        </w:tc>
        <w:tc>
          <w:tcPr>
            <w:tcW w:w="2511" w:type="dxa"/>
            <w:tcBorders>
              <w:top w:val="single" w:sz="4" w:space="0" w:color="auto"/>
              <w:left w:val="nil"/>
              <w:bottom w:val="single" w:sz="4" w:space="0" w:color="auto"/>
              <w:right w:val="single" w:sz="4" w:space="0" w:color="auto"/>
            </w:tcBorders>
            <w:shd w:val="clear" w:color="auto" w:fill="auto"/>
            <w:vAlign w:val="center"/>
          </w:tcPr>
          <w:p w14:paraId="6DDD7238"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（六）“上年‘三公’经费决算数”核对</w:t>
            </w:r>
          </w:p>
        </w:tc>
        <w:tc>
          <w:tcPr>
            <w:tcW w:w="4508" w:type="dxa"/>
            <w:tcBorders>
              <w:top w:val="nil"/>
              <w:left w:val="nil"/>
              <w:bottom w:val="single" w:sz="4" w:space="0" w:color="auto"/>
              <w:right w:val="single" w:sz="4" w:space="0" w:color="auto"/>
            </w:tcBorders>
            <w:shd w:val="clear" w:color="auto" w:fill="auto"/>
            <w:vAlign w:val="center"/>
          </w:tcPr>
          <w:p w14:paraId="6373C3C1"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“上年‘三公’经费决算数”应当与</w:t>
            </w:r>
            <w:r>
              <w:rPr>
                <w:rFonts w:ascii="宋体" w:hAnsi="宋体" w:cs="宋体" w:hint="eastAsia"/>
                <w:color w:val="000000"/>
                <w:kern w:val="0"/>
                <w:sz w:val="22"/>
                <w:szCs w:val="22"/>
              </w:rPr>
              <w:t>20</w:t>
            </w:r>
            <w:r>
              <w:rPr>
                <w:rFonts w:ascii="宋体" w:hAnsi="宋体" w:cs="宋体" w:hint="eastAsia"/>
                <w:color w:val="000000"/>
                <w:kern w:val="0"/>
                <w:sz w:val="22"/>
                <w:szCs w:val="22"/>
              </w:rPr>
              <w:t>20</w:t>
            </w:r>
            <w:r>
              <w:rPr>
                <w:rFonts w:ascii="宋体" w:hAnsi="宋体" w:cs="宋体" w:hint="eastAsia"/>
                <w:color w:val="000000"/>
                <w:kern w:val="0"/>
                <w:sz w:val="22"/>
                <w:szCs w:val="22"/>
              </w:rPr>
              <w:t>年决算报表的《机构运行信息表》（财决附</w:t>
            </w:r>
            <w:r>
              <w:rPr>
                <w:rFonts w:ascii="宋体" w:hAnsi="宋体" w:cs="宋体" w:hint="eastAsia"/>
                <w:color w:val="000000"/>
                <w:kern w:val="0"/>
                <w:sz w:val="22"/>
                <w:szCs w:val="22"/>
              </w:rPr>
              <w:t>03</w:t>
            </w:r>
            <w:r>
              <w:rPr>
                <w:rFonts w:ascii="宋体" w:hAnsi="宋体" w:cs="宋体" w:hint="eastAsia"/>
                <w:color w:val="000000"/>
                <w:kern w:val="0"/>
                <w:sz w:val="22"/>
                <w:szCs w:val="22"/>
              </w:rPr>
              <w:t>表）中“三公”经费支出的支出合计数一致，即表第</w:t>
            </w:r>
            <w:r>
              <w:rPr>
                <w:rFonts w:ascii="宋体" w:hAnsi="宋体" w:cs="宋体" w:hint="eastAsia"/>
                <w:color w:val="000000"/>
                <w:kern w:val="0"/>
                <w:sz w:val="22"/>
                <w:szCs w:val="22"/>
              </w:rPr>
              <w:t>2</w:t>
            </w:r>
            <w:r>
              <w:rPr>
                <w:rFonts w:ascii="宋体" w:hAnsi="宋体" w:cs="宋体" w:hint="eastAsia"/>
                <w:color w:val="000000"/>
                <w:kern w:val="0"/>
                <w:sz w:val="22"/>
                <w:szCs w:val="22"/>
              </w:rPr>
              <w:t>栏次第</w:t>
            </w:r>
            <w:r>
              <w:rPr>
                <w:rFonts w:ascii="宋体" w:hAnsi="宋体" w:cs="宋体" w:hint="eastAsia"/>
                <w:color w:val="000000"/>
                <w:kern w:val="0"/>
                <w:sz w:val="22"/>
                <w:szCs w:val="22"/>
              </w:rPr>
              <w:t>2</w:t>
            </w:r>
            <w:r>
              <w:rPr>
                <w:rFonts w:ascii="宋体" w:hAnsi="宋体" w:cs="宋体" w:hint="eastAsia"/>
                <w:color w:val="000000"/>
                <w:kern w:val="0"/>
                <w:sz w:val="22"/>
                <w:szCs w:val="22"/>
              </w:rPr>
              <w:t>行统计数（单位：元）</w:t>
            </w:r>
          </w:p>
        </w:tc>
        <w:tc>
          <w:tcPr>
            <w:tcW w:w="2762" w:type="dxa"/>
            <w:tcBorders>
              <w:top w:val="nil"/>
              <w:left w:val="nil"/>
              <w:bottom w:val="single" w:sz="4" w:space="0" w:color="auto"/>
              <w:right w:val="single" w:sz="4" w:space="0" w:color="auto"/>
            </w:tcBorders>
            <w:shd w:val="clear" w:color="auto" w:fill="auto"/>
            <w:vAlign w:val="center"/>
          </w:tcPr>
          <w:p w14:paraId="6B29B53A"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3A1A6469" w14:textId="77777777" w:rsidR="004F0BA5" w:rsidRDefault="004F0BA5">
            <w:pPr>
              <w:widowControl/>
              <w:jc w:val="left"/>
              <w:rPr>
                <w:rFonts w:ascii="宋体" w:hAnsi="宋体" w:cs="宋体"/>
                <w:color w:val="000000"/>
                <w:kern w:val="0"/>
                <w:sz w:val="22"/>
                <w:szCs w:val="22"/>
              </w:rPr>
            </w:pPr>
          </w:p>
        </w:tc>
      </w:tr>
      <w:tr w:rsidR="004F0BA5" w14:paraId="5837908D" w14:textId="77777777">
        <w:trPr>
          <w:cantSplit/>
          <w:trHeight w:val="1200"/>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6A532DCD"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1411053D"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（七）“本年‘三公’经费决算数”核对</w:t>
            </w:r>
          </w:p>
        </w:tc>
        <w:tc>
          <w:tcPr>
            <w:tcW w:w="4508" w:type="dxa"/>
            <w:tcBorders>
              <w:top w:val="nil"/>
              <w:left w:val="nil"/>
              <w:bottom w:val="single" w:sz="4" w:space="0" w:color="auto"/>
              <w:right w:val="single" w:sz="4" w:space="0" w:color="auto"/>
            </w:tcBorders>
            <w:shd w:val="clear" w:color="auto" w:fill="auto"/>
            <w:vAlign w:val="center"/>
          </w:tcPr>
          <w:p w14:paraId="6C02C0FC"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“本年‘三公’经费决算数”应当与</w:t>
            </w:r>
            <w:r>
              <w:rPr>
                <w:rFonts w:ascii="宋体" w:hAnsi="宋体" w:cs="宋体" w:hint="eastAsia"/>
                <w:color w:val="000000"/>
                <w:kern w:val="0"/>
                <w:sz w:val="22"/>
                <w:szCs w:val="22"/>
              </w:rPr>
              <w:t>202</w:t>
            </w:r>
            <w:r>
              <w:rPr>
                <w:rFonts w:ascii="宋体" w:hAnsi="宋体" w:cs="宋体" w:hint="eastAsia"/>
                <w:color w:val="000000"/>
                <w:kern w:val="0"/>
                <w:sz w:val="22"/>
                <w:szCs w:val="22"/>
              </w:rPr>
              <w:t>1</w:t>
            </w:r>
            <w:r>
              <w:rPr>
                <w:rFonts w:ascii="宋体" w:hAnsi="宋体" w:cs="宋体" w:hint="eastAsia"/>
                <w:color w:val="000000"/>
                <w:kern w:val="0"/>
                <w:sz w:val="22"/>
                <w:szCs w:val="22"/>
              </w:rPr>
              <w:t>年决算报表的《机构运行信息表》（财决附</w:t>
            </w:r>
            <w:r>
              <w:rPr>
                <w:rFonts w:ascii="宋体" w:hAnsi="宋体" w:cs="宋体" w:hint="eastAsia"/>
                <w:color w:val="000000"/>
                <w:kern w:val="0"/>
                <w:sz w:val="22"/>
                <w:szCs w:val="22"/>
              </w:rPr>
              <w:t>03</w:t>
            </w:r>
            <w:r>
              <w:rPr>
                <w:rFonts w:ascii="宋体" w:hAnsi="宋体" w:cs="宋体" w:hint="eastAsia"/>
                <w:color w:val="000000"/>
                <w:kern w:val="0"/>
                <w:sz w:val="22"/>
                <w:szCs w:val="22"/>
              </w:rPr>
              <w:t>表）中“三公”经费支出的支出合计数一致，即表第</w:t>
            </w:r>
            <w:r>
              <w:rPr>
                <w:rFonts w:ascii="宋体" w:hAnsi="宋体" w:cs="宋体" w:hint="eastAsia"/>
                <w:color w:val="000000"/>
                <w:kern w:val="0"/>
                <w:sz w:val="22"/>
                <w:szCs w:val="22"/>
              </w:rPr>
              <w:t>2</w:t>
            </w:r>
            <w:r>
              <w:rPr>
                <w:rFonts w:ascii="宋体" w:hAnsi="宋体" w:cs="宋体" w:hint="eastAsia"/>
                <w:color w:val="000000"/>
                <w:kern w:val="0"/>
                <w:sz w:val="22"/>
                <w:szCs w:val="22"/>
              </w:rPr>
              <w:t>栏次第</w:t>
            </w:r>
            <w:r>
              <w:rPr>
                <w:rFonts w:ascii="宋体" w:hAnsi="宋体" w:cs="宋体" w:hint="eastAsia"/>
                <w:color w:val="000000"/>
                <w:kern w:val="0"/>
                <w:sz w:val="22"/>
                <w:szCs w:val="22"/>
              </w:rPr>
              <w:t>2</w:t>
            </w:r>
            <w:r>
              <w:rPr>
                <w:rFonts w:ascii="宋体" w:hAnsi="宋体" w:cs="宋体" w:hint="eastAsia"/>
                <w:color w:val="000000"/>
                <w:kern w:val="0"/>
                <w:sz w:val="22"/>
                <w:szCs w:val="22"/>
              </w:rPr>
              <w:t>行统计数（单位：元）。</w:t>
            </w:r>
          </w:p>
        </w:tc>
        <w:tc>
          <w:tcPr>
            <w:tcW w:w="2762" w:type="dxa"/>
            <w:tcBorders>
              <w:top w:val="nil"/>
              <w:left w:val="nil"/>
              <w:bottom w:val="single" w:sz="4" w:space="0" w:color="auto"/>
              <w:right w:val="single" w:sz="4" w:space="0" w:color="auto"/>
            </w:tcBorders>
            <w:shd w:val="clear" w:color="auto" w:fill="auto"/>
            <w:vAlign w:val="center"/>
          </w:tcPr>
          <w:p w14:paraId="40B27CDB"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1A6CBA66" w14:textId="77777777" w:rsidR="004F0BA5" w:rsidRDefault="004F0BA5">
            <w:pPr>
              <w:widowControl/>
              <w:jc w:val="left"/>
              <w:rPr>
                <w:rFonts w:ascii="宋体" w:hAnsi="宋体" w:cs="宋体"/>
                <w:color w:val="000000"/>
                <w:kern w:val="0"/>
                <w:sz w:val="22"/>
                <w:szCs w:val="22"/>
              </w:rPr>
            </w:pPr>
          </w:p>
        </w:tc>
      </w:tr>
      <w:tr w:rsidR="004F0BA5" w14:paraId="54E6B7B2" w14:textId="77777777">
        <w:trPr>
          <w:cantSplit/>
          <w:trHeight w:val="900"/>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66B16596"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3E9308B4"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（八）“本年实际采购金额”核对</w:t>
            </w:r>
          </w:p>
        </w:tc>
        <w:tc>
          <w:tcPr>
            <w:tcW w:w="4508" w:type="dxa"/>
            <w:tcBorders>
              <w:top w:val="nil"/>
              <w:left w:val="nil"/>
              <w:bottom w:val="single" w:sz="4" w:space="0" w:color="auto"/>
              <w:right w:val="single" w:sz="4" w:space="0" w:color="auto"/>
            </w:tcBorders>
            <w:shd w:val="clear" w:color="auto" w:fill="auto"/>
            <w:vAlign w:val="center"/>
          </w:tcPr>
          <w:p w14:paraId="29C1B9BC"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“本年实际采购金额”应当与决算报表《机构运行信息表》（财决附</w:t>
            </w:r>
            <w:r>
              <w:rPr>
                <w:rFonts w:ascii="宋体" w:hAnsi="宋体" w:cs="宋体" w:hint="eastAsia"/>
                <w:color w:val="000000"/>
                <w:kern w:val="0"/>
                <w:sz w:val="22"/>
                <w:szCs w:val="22"/>
              </w:rPr>
              <w:t>03</w:t>
            </w:r>
            <w:r>
              <w:rPr>
                <w:rFonts w:ascii="宋体" w:hAnsi="宋体" w:cs="宋体" w:hint="eastAsia"/>
                <w:color w:val="000000"/>
                <w:kern w:val="0"/>
                <w:sz w:val="22"/>
                <w:szCs w:val="22"/>
              </w:rPr>
              <w:t>表）第</w:t>
            </w:r>
            <w:r>
              <w:rPr>
                <w:rFonts w:ascii="宋体" w:hAnsi="宋体" w:cs="宋体" w:hint="eastAsia"/>
                <w:color w:val="000000"/>
                <w:kern w:val="0"/>
                <w:sz w:val="22"/>
                <w:szCs w:val="22"/>
              </w:rPr>
              <w:t>3</w:t>
            </w:r>
            <w:r>
              <w:rPr>
                <w:rFonts w:ascii="宋体" w:hAnsi="宋体" w:cs="宋体" w:hint="eastAsia"/>
                <w:color w:val="000000"/>
                <w:kern w:val="0"/>
                <w:sz w:val="22"/>
                <w:szCs w:val="22"/>
              </w:rPr>
              <w:t>栏次第</w:t>
            </w:r>
            <w:r>
              <w:rPr>
                <w:rFonts w:ascii="宋体" w:hAnsi="宋体" w:cs="宋体" w:hint="eastAsia"/>
                <w:color w:val="000000"/>
                <w:kern w:val="0"/>
                <w:sz w:val="22"/>
                <w:szCs w:val="22"/>
              </w:rPr>
              <w:t>40</w:t>
            </w:r>
            <w:r>
              <w:rPr>
                <w:rFonts w:ascii="宋体" w:hAnsi="宋体" w:cs="宋体" w:hint="eastAsia"/>
                <w:color w:val="000000"/>
                <w:kern w:val="0"/>
                <w:sz w:val="22"/>
                <w:szCs w:val="22"/>
              </w:rPr>
              <w:t>行“政府采购支出合计”的统计数（单位：元）一致。</w:t>
            </w:r>
          </w:p>
        </w:tc>
        <w:tc>
          <w:tcPr>
            <w:tcW w:w="2762" w:type="dxa"/>
            <w:tcBorders>
              <w:top w:val="nil"/>
              <w:left w:val="nil"/>
              <w:bottom w:val="single" w:sz="4" w:space="0" w:color="auto"/>
              <w:right w:val="single" w:sz="4" w:space="0" w:color="auto"/>
            </w:tcBorders>
            <w:shd w:val="clear" w:color="auto" w:fill="auto"/>
            <w:vAlign w:val="center"/>
          </w:tcPr>
          <w:p w14:paraId="07FF1AB2"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60AFD762" w14:textId="77777777" w:rsidR="004F0BA5" w:rsidRDefault="004F0BA5">
            <w:pPr>
              <w:widowControl/>
              <w:jc w:val="left"/>
              <w:rPr>
                <w:rFonts w:ascii="宋体" w:hAnsi="宋体" w:cs="宋体"/>
                <w:color w:val="000000"/>
                <w:kern w:val="0"/>
                <w:sz w:val="22"/>
                <w:szCs w:val="22"/>
              </w:rPr>
            </w:pPr>
          </w:p>
        </w:tc>
      </w:tr>
      <w:tr w:rsidR="004F0BA5" w14:paraId="667ECEF9" w14:textId="77777777">
        <w:trPr>
          <w:cantSplit/>
          <w:trHeight w:val="596"/>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3222137D"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6052647F"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（九）“年末总资产账面金额”核对</w:t>
            </w:r>
          </w:p>
        </w:tc>
        <w:tc>
          <w:tcPr>
            <w:tcW w:w="4508" w:type="dxa"/>
            <w:tcBorders>
              <w:top w:val="nil"/>
              <w:left w:val="nil"/>
              <w:bottom w:val="single" w:sz="4" w:space="0" w:color="auto"/>
              <w:right w:val="single" w:sz="4" w:space="0" w:color="auto"/>
            </w:tcBorders>
            <w:shd w:val="clear" w:color="auto" w:fill="auto"/>
            <w:vAlign w:val="center"/>
          </w:tcPr>
          <w:p w14:paraId="53E63DEB"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基层单位的“年末总资产账面金额”应当与国有资产报表《资产负债表》（财资</w:t>
            </w:r>
            <w:r>
              <w:rPr>
                <w:rFonts w:ascii="宋体" w:hAnsi="宋体" w:cs="宋体" w:hint="eastAsia"/>
                <w:color w:val="000000"/>
                <w:kern w:val="0"/>
                <w:sz w:val="22"/>
                <w:szCs w:val="22"/>
              </w:rPr>
              <w:t>01</w:t>
            </w:r>
            <w:r>
              <w:rPr>
                <w:rFonts w:ascii="宋体" w:hAnsi="宋体" w:cs="宋体" w:hint="eastAsia"/>
                <w:color w:val="000000"/>
                <w:kern w:val="0"/>
                <w:sz w:val="22"/>
                <w:szCs w:val="22"/>
              </w:rPr>
              <w:t>表）中第</w:t>
            </w:r>
            <w:r>
              <w:rPr>
                <w:rFonts w:ascii="宋体" w:hAnsi="宋体" w:cs="宋体" w:hint="eastAsia"/>
                <w:color w:val="000000"/>
                <w:kern w:val="0"/>
                <w:sz w:val="22"/>
                <w:szCs w:val="22"/>
              </w:rPr>
              <w:t>2</w:t>
            </w:r>
            <w:r>
              <w:rPr>
                <w:rFonts w:ascii="宋体" w:hAnsi="宋体" w:cs="宋体" w:hint="eastAsia"/>
                <w:color w:val="000000"/>
                <w:kern w:val="0"/>
                <w:sz w:val="22"/>
                <w:szCs w:val="22"/>
              </w:rPr>
              <w:t>栏次第</w:t>
            </w:r>
            <w:r>
              <w:rPr>
                <w:rFonts w:ascii="宋体" w:hAnsi="宋体" w:cs="宋体" w:hint="eastAsia"/>
                <w:color w:val="000000"/>
                <w:kern w:val="0"/>
                <w:sz w:val="22"/>
                <w:szCs w:val="22"/>
              </w:rPr>
              <w:t>1</w:t>
            </w:r>
            <w:r>
              <w:rPr>
                <w:rFonts w:ascii="宋体" w:hAnsi="宋体" w:cs="宋体" w:hint="eastAsia"/>
                <w:color w:val="000000"/>
                <w:kern w:val="0"/>
                <w:sz w:val="22"/>
                <w:szCs w:val="22"/>
              </w:rPr>
              <w:t>行资产合计期末数（单位：元）一致；汇总单位的“年末总资产账面金额”应当与国有资产报表《资产负债汇总表》（财资综</w:t>
            </w:r>
            <w:r>
              <w:rPr>
                <w:rFonts w:ascii="宋体" w:hAnsi="宋体" w:cs="宋体" w:hint="eastAsia"/>
                <w:color w:val="000000"/>
                <w:kern w:val="0"/>
                <w:sz w:val="22"/>
                <w:szCs w:val="22"/>
              </w:rPr>
              <w:t>01</w:t>
            </w:r>
            <w:r>
              <w:rPr>
                <w:rFonts w:ascii="宋体" w:hAnsi="宋体" w:cs="宋体" w:hint="eastAsia"/>
                <w:color w:val="000000"/>
                <w:kern w:val="0"/>
                <w:sz w:val="22"/>
                <w:szCs w:val="22"/>
              </w:rPr>
              <w:t>表）中第</w:t>
            </w:r>
            <w:r>
              <w:rPr>
                <w:rFonts w:ascii="宋体" w:hAnsi="宋体" w:cs="宋体" w:hint="eastAsia"/>
                <w:color w:val="000000"/>
                <w:kern w:val="0"/>
                <w:sz w:val="22"/>
                <w:szCs w:val="22"/>
              </w:rPr>
              <w:t>2</w:t>
            </w:r>
            <w:r>
              <w:rPr>
                <w:rFonts w:ascii="宋体" w:hAnsi="宋体" w:cs="宋体" w:hint="eastAsia"/>
                <w:color w:val="000000"/>
                <w:kern w:val="0"/>
                <w:sz w:val="22"/>
                <w:szCs w:val="22"/>
              </w:rPr>
              <w:t>栏次第</w:t>
            </w:r>
            <w:r>
              <w:rPr>
                <w:rFonts w:ascii="宋体" w:hAnsi="宋体" w:cs="宋体" w:hint="eastAsia"/>
                <w:color w:val="000000"/>
                <w:kern w:val="0"/>
                <w:sz w:val="22"/>
                <w:szCs w:val="22"/>
              </w:rPr>
              <w:t>1</w:t>
            </w:r>
            <w:r>
              <w:rPr>
                <w:rFonts w:ascii="宋体" w:hAnsi="宋体" w:cs="宋体" w:hint="eastAsia"/>
                <w:color w:val="000000"/>
                <w:kern w:val="0"/>
                <w:sz w:val="22"/>
                <w:szCs w:val="22"/>
              </w:rPr>
              <w:t>行资产合计期末数（单位：元）一致。</w:t>
            </w:r>
          </w:p>
        </w:tc>
        <w:tc>
          <w:tcPr>
            <w:tcW w:w="2762" w:type="dxa"/>
            <w:tcBorders>
              <w:top w:val="nil"/>
              <w:left w:val="nil"/>
              <w:bottom w:val="single" w:sz="4" w:space="0" w:color="auto"/>
              <w:right w:val="single" w:sz="4" w:space="0" w:color="auto"/>
            </w:tcBorders>
            <w:shd w:val="clear" w:color="auto" w:fill="auto"/>
            <w:vAlign w:val="center"/>
          </w:tcPr>
          <w:p w14:paraId="42E23BC9"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7C1C5892" w14:textId="77777777" w:rsidR="004F0BA5" w:rsidRDefault="004F0BA5">
            <w:pPr>
              <w:widowControl/>
              <w:jc w:val="left"/>
              <w:rPr>
                <w:rFonts w:ascii="宋体" w:hAnsi="宋体" w:cs="宋体"/>
                <w:color w:val="000000"/>
                <w:kern w:val="0"/>
                <w:sz w:val="22"/>
                <w:szCs w:val="22"/>
              </w:rPr>
            </w:pPr>
          </w:p>
        </w:tc>
      </w:tr>
      <w:tr w:rsidR="004F0BA5" w14:paraId="36A04FF4" w14:textId="77777777">
        <w:trPr>
          <w:cantSplit/>
          <w:trHeight w:val="3006"/>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29D72311"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3D68F946"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（十）“固定资产本期减少额”核对</w:t>
            </w:r>
          </w:p>
        </w:tc>
        <w:tc>
          <w:tcPr>
            <w:tcW w:w="4508" w:type="dxa"/>
            <w:tcBorders>
              <w:top w:val="nil"/>
              <w:left w:val="nil"/>
              <w:bottom w:val="single" w:sz="4" w:space="0" w:color="auto"/>
              <w:right w:val="single" w:sz="4" w:space="0" w:color="auto"/>
            </w:tcBorders>
            <w:shd w:val="clear" w:color="auto" w:fill="auto"/>
            <w:vAlign w:val="center"/>
          </w:tcPr>
          <w:p w14:paraId="7F2FD1CF"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基层单位的“固定资产本期减少额”应当与国有资产报表中《资产处置情况表》（财资</w:t>
            </w:r>
            <w:r>
              <w:rPr>
                <w:rFonts w:ascii="宋体" w:hAnsi="宋体" w:cs="宋体" w:hint="eastAsia"/>
                <w:color w:val="000000"/>
                <w:kern w:val="0"/>
                <w:sz w:val="22"/>
                <w:szCs w:val="22"/>
              </w:rPr>
              <w:t>10</w:t>
            </w:r>
            <w:r>
              <w:rPr>
                <w:rFonts w:ascii="宋体" w:hAnsi="宋体" w:cs="宋体" w:hint="eastAsia"/>
                <w:color w:val="000000"/>
                <w:kern w:val="0"/>
                <w:sz w:val="22"/>
                <w:szCs w:val="22"/>
              </w:rPr>
              <w:t>表）中本期减少的固定资产账面原值，即表第</w:t>
            </w:r>
            <w:r>
              <w:rPr>
                <w:rFonts w:ascii="宋体" w:hAnsi="宋体" w:cs="宋体" w:hint="eastAsia"/>
                <w:color w:val="000000"/>
                <w:kern w:val="0"/>
                <w:sz w:val="22"/>
                <w:szCs w:val="22"/>
              </w:rPr>
              <w:t>6</w:t>
            </w:r>
            <w:r>
              <w:rPr>
                <w:rFonts w:ascii="宋体" w:hAnsi="宋体" w:cs="宋体" w:hint="eastAsia"/>
                <w:color w:val="000000"/>
                <w:kern w:val="0"/>
                <w:sz w:val="22"/>
                <w:szCs w:val="22"/>
              </w:rPr>
              <w:t>栏次第</w:t>
            </w:r>
            <w:r>
              <w:rPr>
                <w:rFonts w:ascii="宋体" w:hAnsi="宋体" w:cs="宋体" w:hint="eastAsia"/>
                <w:color w:val="000000"/>
                <w:kern w:val="0"/>
                <w:sz w:val="22"/>
                <w:szCs w:val="22"/>
              </w:rPr>
              <w:t>1</w:t>
            </w:r>
            <w:r>
              <w:rPr>
                <w:rFonts w:ascii="宋体" w:hAnsi="宋体" w:cs="宋体" w:hint="eastAsia"/>
                <w:color w:val="000000"/>
                <w:kern w:val="0"/>
                <w:sz w:val="22"/>
                <w:szCs w:val="22"/>
              </w:rPr>
              <w:t>行固定资产原值小计数（单位：元）一致；汇总单位的“固定资产本期减少额”应当与国有资产报表中《资产处置情况汇总表》（财资综</w:t>
            </w:r>
            <w:r>
              <w:rPr>
                <w:rFonts w:ascii="宋体" w:hAnsi="宋体" w:cs="宋体" w:hint="eastAsia"/>
                <w:color w:val="000000"/>
                <w:kern w:val="0"/>
                <w:sz w:val="22"/>
                <w:szCs w:val="22"/>
              </w:rPr>
              <w:t>06</w:t>
            </w:r>
            <w:r>
              <w:rPr>
                <w:rFonts w:ascii="宋体" w:hAnsi="宋体" w:cs="宋体" w:hint="eastAsia"/>
                <w:color w:val="000000"/>
                <w:kern w:val="0"/>
                <w:sz w:val="22"/>
                <w:szCs w:val="22"/>
              </w:rPr>
              <w:t>表）中本期减少的固定资产账面原值，即表第</w:t>
            </w:r>
            <w:r>
              <w:rPr>
                <w:rFonts w:ascii="宋体" w:hAnsi="宋体" w:cs="宋体" w:hint="eastAsia"/>
                <w:color w:val="000000"/>
                <w:kern w:val="0"/>
                <w:sz w:val="22"/>
                <w:szCs w:val="22"/>
              </w:rPr>
              <w:t>2</w:t>
            </w:r>
            <w:r>
              <w:rPr>
                <w:rFonts w:ascii="宋体" w:hAnsi="宋体" w:cs="宋体" w:hint="eastAsia"/>
                <w:color w:val="000000"/>
                <w:kern w:val="0"/>
                <w:sz w:val="22"/>
                <w:szCs w:val="22"/>
              </w:rPr>
              <w:t>栏次第</w:t>
            </w:r>
            <w:r>
              <w:rPr>
                <w:rFonts w:ascii="宋体" w:hAnsi="宋体" w:cs="宋体" w:hint="eastAsia"/>
                <w:color w:val="000000"/>
                <w:kern w:val="0"/>
                <w:sz w:val="22"/>
                <w:szCs w:val="22"/>
              </w:rPr>
              <w:t>3</w:t>
            </w:r>
            <w:r>
              <w:rPr>
                <w:rFonts w:ascii="宋体" w:hAnsi="宋体" w:cs="宋体" w:hint="eastAsia"/>
                <w:color w:val="000000"/>
                <w:kern w:val="0"/>
                <w:sz w:val="22"/>
                <w:szCs w:val="22"/>
              </w:rPr>
              <w:t>行固定资产账面原值小计数（单位：元）一致</w:t>
            </w:r>
          </w:p>
        </w:tc>
        <w:tc>
          <w:tcPr>
            <w:tcW w:w="2762" w:type="dxa"/>
            <w:tcBorders>
              <w:top w:val="nil"/>
              <w:left w:val="nil"/>
              <w:bottom w:val="single" w:sz="4" w:space="0" w:color="auto"/>
              <w:right w:val="single" w:sz="4" w:space="0" w:color="auto"/>
            </w:tcBorders>
            <w:shd w:val="clear" w:color="auto" w:fill="auto"/>
            <w:vAlign w:val="center"/>
          </w:tcPr>
          <w:p w14:paraId="6890FB2A"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1D007BF6" w14:textId="77777777" w:rsidR="004F0BA5" w:rsidRDefault="004F0BA5">
            <w:pPr>
              <w:widowControl/>
              <w:jc w:val="left"/>
              <w:rPr>
                <w:rFonts w:ascii="宋体" w:hAnsi="宋体" w:cs="宋体"/>
                <w:color w:val="000000"/>
                <w:kern w:val="0"/>
                <w:sz w:val="22"/>
                <w:szCs w:val="22"/>
              </w:rPr>
            </w:pPr>
          </w:p>
        </w:tc>
      </w:tr>
      <w:tr w:rsidR="004F0BA5" w14:paraId="61094E15" w14:textId="77777777">
        <w:trPr>
          <w:cantSplit/>
          <w:trHeight w:val="1405"/>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3F281756"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001413F7"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（十一）“年度实际投资额”核对</w:t>
            </w:r>
          </w:p>
        </w:tc>
        <w:tc>
          <w:tcPr>
            <w:tcW w:w="4508" w:type="dxa"/>
            <w:tcBorders>
              <w:top w:val="nil"/>
              <w:left w:val="nil"/>
              <w:bottom w:val="single" w:sz="4" w:space="0" w:color="auto"/>
              <w:right w:val="single" w:sz="4" w:space="0" w:color="auto"/>
            </w:tcBorders>
            <w:shd w:val="clear" w:color="auto" w:fill="auto"/>
            <w:vAlign w:val="center"/>
          </w:tcPr>
          <w:p w14:paraId="1D4E966B"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“年度实际投资额”应当与决算报表《项目支出决算明细表》（财决</w:t>
            </w:r>
            <w:r>
              <w:rPr>
                <w:rFonts w:ascii="宋体" w:hAnsi="宋体" w:cs="宋体" w:hint="eastAsia"/>
                <w:color w:val="000000"/>
                <w:kern w:val="0"/>
                <w:sz w:val="22"/>
                <w:szCs w:val="22"/>
              </w:rPr>
              <w:t>05-2</w:t>
            </w:r>
            <w:r>
              <w:rPr>
                <w:rFonts w:ascii="宋体" w:hAnsi="宋体" w:cs="宋体" w:hint="eastAsia"/>
                <w:color w:val="000000"/>
                <w:kern w:val="0"/>
                <w:sz w:val="22"/>
                <w:szCs w:val="22"/>
              </w:rPr>
              <w:t>表）“资本性支出（基本建设）”</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第</w:t>
            </w:r>
            <w:r>
              <w:rPr>
                <w:rFonts w:ascii="宋体" w:hAnsi="宋体" w:cs="宋体" w:hint="eastAsia"/>
                <w:color w:val="000000"/>
                <w:kern w:val="0"/>
                <w:sz w:val="22"/>
                <w:szCs w:val="22"/>
              </w:rPr>
              <w:t>62</w:t>
            </w:r>
            <w:r>
              <w:rPr>
                <w:rFonts w:ascii="宋体" w:hAnsi="宋体" w:cs="宋体" w:hint="eastAsia"/>
                <w:color w:val="000000"/>
                <w:kern w:val="0"/>
                <w:sz w:val="22"/>
                <w:szCs w:val="22"/>
              </w:rPr>
              <w:t>栏次第</w:t>
            </w:r>
            <w:r>
              <w:rPr>
                <w:rFonts w:ascii="宋体" w:hAnsi="宋体" w:cs="宋体" w:hint="eastAsia"/>
                <w:color w:val="000000"/>
                <w:kern w:val="0"/>
                <w:sz w:val="22"/>
                <w:szCs w:val="22"/>
              </w:rPr>
              <w:t>1</w:t>
            </w:r>
            <w:r>
              <w:rPr>
                <w:rFonts w:ascii="宋体" w:hAnsi="宋体" w:cs="宋体" w:hint="eastAsia"/>
                <w:color w:val="000000"/>
                <w:kern w:val="0"/>
                <w:sz w:val="22"/>
                <w:szCs w:val="22"/>
              </w:rPr>
              <w:t>行小计数（单位：元）一致。</w:t>
            </w:r>
          </w:p>
        </w:tc>
        <w:tc>
          <w:tcPr>
            <w:tcW w:w="2762" w:type="dxa"/>
            <w:tcBorders>
              <w:top w:val="nil"/>
              <w:left w:val="nil"/>
              <w:bottom w:val="single" w:sz="4" w:space="0" w:color="auto"/>
              <w:right w:val="single" w:sz="4" w:space="0" w:color="auto"/>
            </w:tcBorders>
            <w:shd w:val="clear" w:color="auto" w:fill="auto"/>
            <w:vAlign w:val="center"/>
          </w:tcPr>
          <w:p w14:paraId="6AED3660"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一致</w:t>
            </w:r>
            <w:r>
              <w:rPr>
                <w:rFonts w:ascii="宋体" w:hAnsi="宋体" w:cs="宋体" w:hint="eastAsia"/>
                <w:color w:val="000000"/>
                <w:kern w:val="0"/>
                <w:sz w:val="22"/>
                <w:szCs w:val="22"/>
              </w:rPr>
              <w:t>/</w:t>
            </w:r>
            <w:r>
              <w:rPr>
                <w:rFonts w:ascii="宋体" w:hAnsi="宋体" w:cs="宋体" w:hint="eastAsia"/>
                <w:color w:val="000000"/>
                <w:kern w:val="0"/>
                <w:sz w:val="22"/>
                <w:szCs w:val="22"/>
              </w:rPr>
              <w:t>差异在</w:t>
            </w:r>
            <w:r>
              <w:rPr>
                <w:rFonts w:ascii="宋体" w:hAnsi="宋体" w:cs="宋体" w:hint="eastAsia"/>
                <w:color w:val="000000"/>
                <w:kern w:val="0"/>
                <w:sz w:val="22"/>
                <w:szCs w:val="22"/>
              </w:rPr>
              <w:t>10%</w:t>
            </w:r>
            <w:r>
              <w:rPr>
                <w:rFonts w:ascii="宋体" w:hAnsi="宋体" w:cs="宋体" w:hint="eastAsia"/>
                <w:color w:val="000000"/>
                <w:kern w:val="0"/>
                <w:sz w:val="22"/>
                <w:szCs w:val="22"/>
              </w:rPr>
              <w:t>以内</w:t>
            </w:r>
            <w:r>
              <w:rPr>
                <w:rFonts w:ascii="宋体" w:hAnsi="宋体" w:cs="宋体" w:hint="eastAsia"/>
                <w:color w:val="000000"/>
                <w:kern w:val="0"/>
                <w:sz w:val="22"/>
                <w:szCs w:val="22"/>
              </w:rPr>
              <w:t>/</w:t>
            </w:r>
            <w:r>
              <w:rPr>
                <w:rFonts w:ascii="宋体" w:hAnsi="宋体" w:cs="宋体" w:hint="eastAsia"/>
                <w:color w:val="000000"/>
                <w:kern w:val="0"/>
                <w:sz w:val="22"/>
                <w:szCs w:val="22"/>
              </w:rPr>
              <w:t>差异较大需要说明</w:t>
            </w:r>
          </w:p>
        </w:tc>
        <w:tc>
          <w:tcPr>
            <w:tcW w:w="2753" w:type="dxa"/>
            <w:tcBorders>
              <w:top w:val="nil"/>
              <w:left w:val="nil"/>
              <w:bottom w:val="single" w:sz="4" w:space="0" w:color="auto"/>
              <w:right w:val="single" w:sz="4" w:space="0" w:color="auto"/>
            </w:tcBorders>
            <w:shd w:val="clear" w:color="auto" w:fill="auto"/>
            <w:vAlign w:val="center"/>
          </w:tcPr>
          <w:p w14:paraId="294BEE7F" w14:textId="77777777" w:rsidR="004F0BA5" w:rsidRDefault="004F0BA5">
            <w:pPr>
              <w:widowControl/>
              <w:jc w:val="left"/>
              <w:rPr>
                <w:rFonts w:ascii="宋体" w:hAnsi="宋体" w:cs="宋体"/>
                <w:color w:val="000000"/>
                <w:kern w:val="0"/>
                <w:sz w:val="22"/>
                <w:szCs w:val="22"/>
              </w:rPr>
            </w:pPr>
          </w:p>
        </w:tc>
      </w:tr>
      <w:tr w:rsidR="004F0BA5" w14:paraId="3366AB46" w14:textId="77777777">
        <w:trPr>
          <w:cantSplit/>
          <w:trHeight w:val="1415"/>
        </w:trPr>
        <w:tc>
          <w:tcPr>
            <w:tcW w:w="1414" w:type="dxa"/>
            <w:vMerge w:val="restart"/>
            <w:tcBorders>
              <w:top w:val="nil"/>
              <w:left w:val="single" w:sz="4" w:space="0" w:color="auto"/>
              <w:bottom w:val="single" w:sz="4" w:space="0" w:color="000000"/>
              <w:right w:val="single" w:sz="4" w:space="0" w:color="auto"/>
            </w:tcBorders>
            <w:shd w:val="clear" w:color="auto" w:fill="auto"/>
            <w:vAlign w:val="center"/>
          </w:tcPr>
          <w:p w14:paraId="3D057490"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五、数值型指标的合理性</w:t>
            </w:r>
          </w:p>
        </w:tc>
        <w:tc>
          <w:tcPr>
            <w:tcW w:w="2511" w:type="dxa"/>
            <w:tcBorders>
              <w:top w:val="nil"/>
              <w:left w:val="nil"/>
              <w:bottom w:val="single" w:sz="4" w:space="0" w:color="auto"/>
              <w:right w:val="single" w:sz="4" w:space="0" w:color="auto"/>
            </w:tcBorders>
            <w:shd w:val="clear" w:color="auto" w:fill="auto"/>
            <w:vAlign w:val="center"/>
          </w:tcPr>
          <w:p w14:paraId="15559899"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（一）“内部控制机构运行情况”异常值排查核对</w:t>
            </w:r>
          </w:p>
        </w:tc>
        <w:tc>
          <w:tcPr>
            <w:tcW w:w="4508" w:type="dxa"/>
            <w:tcBorders>
              <w:top w:val="nil"/>
              <w:left w:val="nil"/>
              <w:bottom w:val="single" w:sz="4" w:space="0" w:color="auto"/>
              <w:right w:val="single" w:sz="4" w:space="0" w:color="auto"/>
            </w:tcBorders>
            <w:shd w:val="clear" w:color="auto" w:fill="auto"/>
            <w:vAlign w:val="center"/>
          </w:tcPr>
          <w:p w14:paraId="0FCBE8B9"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本年单位内部控制领导小组会议次数、本年单位开展内部控制专题培训次数、内部控制相关问题数量、通过内部控制体系进行整改的问题数量不存在不合理的异常值。</w:t>
            </w:r>
          </w:p>
        </w:tc>
        <w:tc>
          <w:tcPr>
            <w:tcW w:w="2762" w:type="dxa"/>
            <w:tcBorders>
              <w:top w:val="nil"/>
              <w:left w:val="nil"/>
              <w:bottom w:val="single" w:sz="4" w:space="0" w:color="auto"/>
              <w:right w:val="single" w:sz="4" w:space="0" w:color="auto"/>
            </w:tcBorders>
            <w:shd w:val="clear" w:color="auto" w:fill="auto"/>
            <w:vAlign w:val="center"/>
          </w:tcPr>
          <w:p w14:paraId="1CABAB18"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无异常</w:t>
            </w:r>
            <w:r>
              <w:rPr>
                <w:rFonts w:ascii="宋体" w:hAnsi="宋体" w:cs="宋体" w:hint="eastAsia"/>
                <w:color w:val="000000"/>
                <w:kern w:val="0"/>
                <w:sz w:val="22"/>
                <w:szCs w:val="22"/>
              </w:rPr>
              <w:t>/</w:t>
            </w:r>
            <w:r>
              <w:rPr>
                <w:rFonts w:ascii="宋体" w:hAnsi="宋体" w:cs="宋体" w:hint="eastAsia"/>
                <w:color w:val="000000"/>
                <w:kern w:val="0"/>
                <w:sz w:val="22"/>
                <w:szCs w:val="22"/>
              </w:rPr>
              <w:t>存在异常需要说明</w:t>
            </w:r>
          </w:p>
        </w:tc>
        <w:tc>
          <w:tcPr>
            <w:tcW w:w="2753" w:type="dxa"/>
            <w:tcBorders>
              <w:top w:val="nil"/>
              <w:left w:val="nil"/>
              <w:bottom w:val="single" w:sz="4" w:space="0" w:color="auto"/>
              <w:right w:val="single" w:sz="4" w:space="0" w:color="auto"/>
            </w:tcBorders>
            <w:shd w:val="clear" w:color="auto" w:fill="auto"/>
            <w:vAlign w:val="center"/>
          </w:tcPr>
          <w:p w14:paraId="00CF7FCE" w14:textId="77777777" w:rsidR="004F0BA5" w:rsidRDefault="004F0BA5">
            <w:pPr>
              <w:widowControl/>
              <w:jc w:val="left"/>
              <w:rPr>
                <w:rFonts w:ascii="宋体" w:hAnsi="宋体" w:cs="宋体"/>
                <w:color w:val="000000"/>
                <w:kern w:val="0"/>
                <w:sz w:val="22"/>
                <w:szCs w:val="22"/>
              </w:rPr>
            </w:pPr>
          </w:p>
        </w:tc>
      </w:tr>
      <w:tr w:rsidR="004F0BA5" w14:paraId="23504B77" w14:textId="77777777">
        <w:trPr>
          <w:cantSplit/>
          <w:trHeight w:val="1261"/>
        </w:trPr>
        <w:tc>
          <w:tcPr>
            <w:tcW w:w="1414" w:type="dxa"/>
            <w:vMerge/>
            <w:tcBorders>
              <w:top w:val="nil"/>
              <w:left w:val="single" w:sz="4" w:space="0" w:color="auto"/>
              <w:bottom w:val="single" w:sz="4" w:space="0" w:color="000000"/>
              <w:right w:val="single" w:sz="4" w:space="0" w:color="auto"/>
            </w:tcBorders>
            <w:shd w:val="clear" w:color="auto" w:fill="auto"/>
            <w:vAlign w:val="center"/>
          </w:tcPr>
          <w:p w14:paraId="04C56112"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232996D7"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（二）“内部控制制度执行情况”异常值排查核对</w:t>
            </w:r>
          </w:p>
        </w:tc>
        <w:tc>
          <w:tcPr>
            <w:tcW w:w="4508" w:type="dxa"/>
            <w:tcBorders>
              <w:top w:val="nil"/>
              <w:left w:val="nil"/>
              <w:bottom w:val="single" w:sz="4" w:space="0" w:color="auto"/>
              <w:right w:val="single" w:sz="4" w:space="0" w:color="auto"/>
            </w:tcBorders>
            <w:shd w:val="clear" w:color="auto" w:fill="auto"/>
            <w:vAlign w:val="center"/>
          </w:tcPr>
          <w:p w14:paraId="0D8C8725"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所有数值型数据，不存在不合理的异常值，尤其项目数量、合同订立数、经合法性审查的合同数不能误填为金额。</w:t>
            </w:r>
          </w:p>
        </w:tc>
        <w:tc>
          <w:tcPr>
            <w:tcW w:w="2762" w:type="dxa"/>
            <w:tcBorders>
              <w:top w:val="nil"/>
              <w:left w:val="nil"/>
              <w:bottom w:val="single" w:sz="4" w:space="0" w:color="auto"/>
              <w:right w:val="single" w:sz="4" w:space="0" w:color="auto"/>
            </w:tcBorders>
            <w:shd w:val="clear" w:color="auto" w:fill="auto"/>
            <w:vAlign w:val="center"/>
          </w:tcPr>
          <w:p w14:paraId="632947C8"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t>无异常</w:t>
            </w:r>
            <w:r>
              <w:rPr>
                <w:rFonts w:ascii="宋体" w:hAnsi="宋体" w:cs="宋体" w:hint="eastAsia"/>
                <w:color w:val="000000"/>
                <w:kern w:val="0"/>
                <w:sz w:val="22"/>
                <w:szCs w:val="22"/>
              </w:rPr>
              <w:t>/</w:t>
            </w:r>
            <w:r>
              <w:rPr>
                <w:rFonts w:ascii="宋体" w:hAnsi="宋体" w:cs="宋体" w:hint="eastAsia"/>
                <w:color w:val="000000"/>
                <w:kern w:val="0"/>
                <w:sz w:val="22"/>
                <w:szCs w:val="22"/>
              </w:rPr>
              <w:t>存在异常需要说明</w:t>
            </w:r>
          </w:p>
        </w:tc>
        <w:tc>
          <w:tcPr>
            <w:tcW w:w="2753" w:type="dxa"/>
            <w:tcBorders>
              <w:top w:val="nil"/>
              <w:left w:val="nil"/>
              <w:bottom w:val="single" w:sz="4" w:space="0" w:color="auto"/>
              <w:right w:val="single" w:sz="4" w:space="0" w:color="auto"/>
            </w:tcBorders>
            <w:shd w:val="clear" w:color="auto" w:fill="auto"/>
            <w:vAlign w:val="center"/>
          </w:tcPr>
          <w:p w14:paraId="41B3A1BB" w14:textId="77777777" w:rsidR="004F0BA5" w:rsidRDefault="004F0BA5">
            <w:pPr>
              <w:widowControl/>
              <w:jc w:val="left"/>
              <w:rPr>
                <w:rFonts w:ascii="宋体" w:hAnsi="宋体" w:cs="宋体"/>
                <w:color w:val="000000"/>
                <w:kern w:val="0"/>
                <w:sz w:val="22"/>
                <w:szCs w:val="22"/>
              </w:rPr>
            </w:pPr>
          </w:p>
        </w:tc>
      </w:tr>
      <w:tr w:rsidR="004F0BA5" w14:paraId="5AE1602F" w14:textId="77777777">
        <w:trPr>
          <w:cantSplit/>
          <w:trHeight w:val="630"/>
        </w:trPr>
        <w:tc>
          <w:tcPr>
            <w:tcW w:w="1414" w:type="dxa"/>
            <w:vMerge w:val="restart"/>
            <w:tcBorders>
              <w:top w:val="nil"/>
              <w:left w:val="single" w:sz="4" w:space="0" w:color="auto"/>
              <w:bottom w:val="nil"/>
              <w:right w:val="single" w:sz="4" w:space="0" w:color="auto"/>
            </w:tcBorders>
            <w:shd w:val="clear" w:color="auto" w:fill="auto"/>
            <w:vAlign w:val="center"/>
          </w:tcPr>
          <w:p w14:paraId="5A6BE779" w14:textId="77777777" w:rsidR="004F0BA5" w:rsidRDefault="0081166B">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六、内控报告抽查审核情况</w:t>
            </w:r>
          </w:p>
        </w:tc>
        <w:tc>
          <w:tcPr>
            <w:tcW w:w="7019" w:type="dxa"/>
            <w:gridSpan w:val="2"/>
            <w:tcBorders>
              <w:top w:val="single" w:sz="4" w:space="0" w:color="auto"/>
              <w:left w:val="nil"/>
              <w:bottom w:val="single" w:sz="4" w:space="0" w:color="auto"/>
              <w:right w:val="single" w:sz="4" w:space="0" w:color="000000"/>
            </w:tcBorders>
            <w:shd w:val="clear" w:color="auto" w:fill="auto"/>
            <w:vAlign w:val="center"/>
          </w:tcPr>
          <w:p w14:paraId="789C0597"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抽查户数</w:t>
            </w:r>
          </w:p>
        </w:tc>
        <w:tc>
          <w:tcPr>
            <w:tcW w:w="5515" w:type="dxa"/>
            <w:gridSpan w:val="2"/>
            <w:tcBorders>
              <w:top w:val="nil"/>
              <w:left w:val="nil"/>
              <w:bottom w:val="single" w:sz="4" w:space="0" w:color="auto"/>
              <w:right w:val="single" w:sz="4" w:space="0" w:color="auto"/>
            </w:tcBorders>
            <w:shd w:val="clear" w:color="auto" w:fill="auto"/>
            <w:vAlign w:val="center"/>
          </w:tcPr>
          <w:p w14:paraId="148F5CA2" w14:textId="77777777" w:rsidR="004F0BA5" w:rsidRDefault="0081166B">
            <w:pPr>
              <w:widowControl/>
              <w:ind w:right="440"/>
              <w:rPr>
                <w:rFonts w:ascii="宋体" w:hAnsi="宋体" w:cs="宋体"/>
                <w:color w:val="000000"/>
                <w:kern w:val="0"/>
                <w:sz w:val="22"/>
                <w:szCs w:val="22"/>
              </w:rPr>
            </w:pPr>
            <w:r>
              <w:rPr>
                <w:rFonts w:ascii="宋体" w:hAnsi="宋体" w:cs="宋体" w:hint="eastAsia"/>
                <w:color w:val="000000"/>
                <w:kern w:val="0"/>
                <w:sz w:val="22"/>
                <w:szCs w:val="22"/>
              </w:rPr>
              <w:t>（请填列抽查的单位户数）</w:t>
            </w:r>
          </w:p>
        </w:tc>
      </w:tr>
      <w:tr w:rsidR="004F0BA5" w14:paraId="377FA905" w14:textId="77777777">
        <w:trPr>
          <w:cantSplit/>
          <w:trHeight w:val="630"/>
        </w:trPr>
        <w:tc>
          <w:tcPr>
            <w:tcW w:w="1414" w:type="dxa"/>
            <w:vMerge/>
            <w:tcBorders>
              <w:top w:val="nil"/>
              <w:left w:val="single" w:sz="4" w:space="0" w:color="auto"/>
              <w:bottom w:val="nil"/>
              <w:right w:val="single" w:sz="4" w:space="0" w:color="auto"/>
            </w:tcBorders>
            <w:shd w:val="clear" w:color="auto" w:fill="auto"/>
            <w:vAlign w:val="center"/>
          </w:tcPr>
          <w:p w14:paraId="1333C0CC" w14:textId="77777777" w:rsidR="004F0BA5" w:rsidRDefault="004F0BA5">
            <w:pPr>
              <w:widowControl/>
              <w:jc w:val="left"/>
              <w:rPr>
                <w:rFonts w:ascii="宋体" w:hAnsi="宋体" w:cs="宋体"/>
                <w:color w:val="000000"/>
                <w:kern w:val="0"/>
                <w:sz w:val="22"/>
                <w:szCs w:val="22"/>
              </w:rPr>
            </w:pPr>
          </w:p>
        </w:tc>
        <w:tc>
          <w:tcPr>
            <w:tcW w:w="7019" w:type="dxa"/>
            <w:gridSpan w:val="2"/>
            <w:tcBorders>
              <w:top w:val="single" w:sz="4" w:space="0" w:color="auto"/>
              <w:left w:val="nil"/>
              <w:bottom w:val="single" w:sz="4" w:space="0" w:color="auto"/>
              <w:right w:val="single" w:sz="4" w:space="0" w:color="000000"/>
            </w:tcBorders>
            <w:shd w:val="clear" w:color="auto" w:fill="auto"/>
            <w:vAlign w:val="center"/>
          </w:tcPr>
          <w:p w14:paraId="4377FDCB"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抽查单位</w:t>
            </w:r>
          </w:p>
        </w:tc>
        <w:tc>
          <w:tcPr>
            <w:tcW w:w="5515" w:type="dxa"/>
            <w:gridSpan w:val="2"/>
            <w:tcBorders>
              <w:top w:val="nil"/>
              <w:left w:val="nil"/>
              <w:bottom w:val="single" w:sz="4" w:space="0" w:color="auto"/>
              <w:right w:val="single" w:sz="4" w:space="0" w:color="auto"/>
            </w:tcBorders>
            <w:shd w:val="clear" w:color="auto" w:fill="auto"/>
            <w:vAlign w:val="center"/>
          </w:tcPr>
          <w:p w14:paraId="6D502A9D"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（请填列抽查的具体单位名称）</w:t>
            </w:r>
          </w:p>
        </w:tc>
      </w:tr>
      <w:tr w:rsidR="004F0BA5" w14:paraId="45C48414" w14:textId="77777777">
        <w:trPr>
          <w:cantSplit/>
          <w:trHeight w:val="1500"/>
        </w:trPr>
        <w:tc>
          <w:tcPr>
            <w:tcW w:w="1414" w:type="dxa"/>
            <w:vMerge/>
            <w:tcBorders>
              <w:top w:val="nil"/>
              <w:left w:val="single" w:sz="4" w:space="0" w:color="auto"/>
              <w:bottom w:val="single" w:sz="4" w:space="0" w:color="auto"/>
              <w:right w:val="single" w:sz="4" w:space="0" w:color="auto"/>
            </w:tcBorders>
            <w:shd w:val="clear" w:color="auto" w:fill="auto"/>
            <w:vAlign w:val="center"/>
          </w:tcPr>
          <w:p w14:paraId="3783F285" w14:textId="77777777" w:rsidR="004F0BA5" w:rsidRDefault="004F0BA5">
            <w:pPr>
              <w:widowControl/>
              <w:jc w:val="left"/>
              <w:rPr>
                <w:rFonts w:ascii="宋体" w:hAnsi="宋体" w:cs="宋体"/>
                <w:color w:val="000000"/>
                <w:kern w:val="0"/>
                <w:sz w:val="22"/>
                <w:szCs w:val="22"/>
              </w:rPr>
            </w:pPr>
          </w:p>
        </w:tc>
        <w:tc>
          <w:tcPr>
            <w:tcW w:w="2511" w:type="dxa"/>
            <w:tcBorders>
              <w:top w:val="nil"/>
              <w:left w:val="nil"/>
              <w:bottom w:val="single" w:sz="4" w:space="0" w:color="auto"/>
              <w:right w:val="single" w:sz="4" w:space="0" w:color="auto"/>
            </w:tcBorders>
            <w:shd w:val="clear" w:color="auto" w:fill="auto"/>
            <w:vAlign w:val="center"/>
          </w:tcPr>
          <w:p w14:paraId="5BFB99A7"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按照规定要求开展了检查，确保了内部控制报告质量</w:t>
            </w:r>
          </w:p>
        </w:tc>
        <w:tc>
          <w:tcPr>
            <w:tcW w:w="4508" w:type="dxa"/>
            <w:tcBorders>
              <w:top w:val="nil"/>
              <w:left w:val="nil"/>
              <w:bottom w:val="single" w:sz="4" w:space="0" w:color="auto"/>
              <w:right w:val="single" w:sz="4" w:space="0" w:color="auto"/>
            </w:tcBorders>
            <w:shd w:val="clear" w:color="auto" w:fill="auto"/>
            <w:vAlign w:val="center"/>
          </w:tcPr>
          <w:p w14:paraId="5E42847E"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各部门、各区应当抽取一定比例的所属单位，对其内部控制报告内容的真实性、完整性、规范性和内部控制报告编报工作进行检查。</w:t>
            </w:r>
          </w:p>
        </w:tc>
        <w:tc>
          <w:tcPr>
            <w:tcW w:w="5515" w:type="dxa"/>
            <w:gridSpan w:val="2"/>
            <w:tcBorders>
              <w:top w:val="nil"/>
              <w:left w:val="nil"/>
              <w:bottom w:val="single" w:sz="4" w:space="0" w:color="auto"/>
              <w:right w:val="single" w:sz="4" w:space="0" w:color="auto"/>
            </w:tcBorders>
            <w:shd w:val="clear" w:color="auto" w:fill="auto"/>
            <w:vAlign w:val="center"/>
          </w:tcPr>
          <w:p w14:paraId="38E1B409" w14:textId="77777777" w:rsidR="004F0BA5" w:rsidRDefault="0081166B">
            <w:pPr>
              <w:widowControl/>
              <w:jc w:val="left"/>
              <w:rPr>
                <w:rFonts w:ascii="宋体" w:hAnsi="宋体" w:cs="宋体"/>
                <w:color w:val="000000"/>
                <w:kern w:val="0"/>
                <w:sz w:val="22"/>
                <w:szCs w:val="22"/>
              </w:rPr>
            </w:pPr>
            <w:r>
              <w:rPr>
                <w:rFonts w:ascii="宋体" w:hAnsi="宋体" w:cs="宋体" w:hint="eastAsia"/>
                <w:color w:val="000000"/>
                <w:kern w:val="0"/>
                <w:sz w:val="22"/>
                <w:szCs w:val="22"/>
              </w:rPr>
              <w:t>（请填列抽查情况，包括抽查发现的问题、整改情况等）</w:t>
            </w:r>
          </w:p>
        </w:tc>
      </w:tr>
    </w:tbl>
    <w:p w14:paraId="1F0BBFB2" w14:textId="77777777" w:rsidR="004F0BA5" w:rsidRDefault="0081166B">
      <w:r>
        <w:rPr>
          <w:rFonts w:hint="eastAsia"/>
        </w:rPr>
        <w:t>注：上下年数据差异率，以上年数据为计算基数；同口径数据差异率，以部门决算、资产报告等外部数据为计算基数。</w:t>
      </w:r>
    </w:p>
    <w:sectPr w:rsidR="004F0BA5">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BFA5" w14:textId="77777777" w:rsidR="0081166B" w:rsidRDefault="0081166B">
      <w:r>
        <w:separator/>
      </w:r>
    </w:p>
  </w:endnote>
  <w:endnote w:type="continuationSeparator" w:id="0">
    <w:p w14:paraId="1A0CE70A" w14:textId="77777777" w:rsidR="0081166B" w:rsidRDefault="008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89C2" w14:textId="02D4DEAF" w:rsidR="004F0BA5" w:rsidRDefault="005D7961">
    <w:pPr>
      <w:pStyle w:val="a5"/>
    </w:pPr>
    <w:r>
      <w:rPr>
        <w:noProof/>
      </w:rPr>
      <mc:AlternateContent>
        <mc:Choice Requires="wps">
          <w:drawing>
            <wp:anchor distT="0" distB="0" distL="114300" distR="114300" simplePos="0" relativeHeight="251659264" behindDoc="0" locked="0" layoutInCell="1" allowOverlap="1" wp14:anchorId="4BD635CF" wp14:editId="5E266A9D">
              <wp:simplePos x="0" y="0"/>
              <wp:positionH relativeFrom="margin">
                <wp:align>center</wp:align>
              </wp:positionH>
              <wp:positionV relativeFrom="paragraph">
                <wp:posOffset>0</wp:posOffset>
              </wp:positionV>
              <wp:extent cx="401320"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320" cy="147955"/>
                      </a:xfrm>
                      <a:prstGeom prst="rect">
                        <a:avLst/>
                      </a:prstGeom>
                      <a:noFill/>
                      <a:ln w="6350">
                        <a:noFill/>
                      </a:ln>
                    </wps:spPr>
                    <wps:txbx>
                      <w:txbxContent>
                        <w:p w14:paraId="73DB16AB" w14:textId="77777777" w:rsidR="004F0BA5" w:rsidRDefault="0081166B">
                          <w:pPr>
                            <w:pStyle w:val="a5"/>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BD635CF" id="_x0000_t202" coordsize="21600,21600" o:spt="202" path="m,l,21600r21600,l21600,xe">
              <v:stroke joinstyle="miter"/>
              <v:path gradientshapeok="t" o:connecttype="rect"/>
            </v:shapetype>
            <v:shape id="文本框 1" o:spid="_x0000_s1026" type="#_x0000_t202" style="position:absolute;margin-left:0;margin-top:0;width:31.6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" filled="f" stroked="f" strokeweight=".5pt">
              <v:textbox style="mso-fit-shape-to-text:t" inset="0,0,0,0">
                <w:txbxContent>
                  <w:p w14:paraId="73DB16AB" w14:textId="77777777" w:rsidR="004F0BA5" w:rsidRDefault="0081166B">
                    <w:pPr>
                      <w:pStyle w:val="a5"/>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r>
                      <w:rPr>
                        <w:rFonts w:hint="eastAsia"/>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AF3BE" w14:textId="77777777" w:rsidR="0081166B" w:rsidRDefault="0081166B">
      <w:r>
        <w:separator/>
      </w:r>
    </w:p>
  </w:footnote>
  <w:footnote w:type="continuationSeparator" w:id="0">
    <w:p w14:paraId="1651C853" w14:textId="77777777" w:rsidR="0081166B" w:rsidRDefault="00811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4D"/>
    <w:rsid w:val="ED99CCF8"/>
    <w:rsid w:val="00027422"/>
    <w:rsid w:val="000275DB"/>
    <w:rsid w:val="000C226E"/>
    <w:rsid w:val="000D383F"/>
    <w:rsid w:val="001504F7"/>
    <w:rsid w:val="001F0C0E"/>
    <w:rsid w:val="002813DB"/>
    <w:rsid w:val="00294AE1"/>
    <w:rsid w:val="00344108"/>
    <w:rsid w:val="003B26A2"/>
    <w:rsid w:val="003D34C4"/>
    <w:rsid w:val="00420C20"/>
    <w:rsid w:val="0043337F"/>
    <w:rsid w:val="00444AE1"/>
    <w:rsid w:val="00487D28"/>
    <w:rsid w:val="004A60A8"/>
    <w:rsid w:val="004B5A86"/>
    <w:rsid w:val="004C1A63"/>
    <w:rsid w:val="004C6F28"/>
    <w:rsid w:val="004E54D8"/>
    <w:rsid w:val="004F0BA5"/>
    <w:rsid w:val="005D7961"/>
    <w:rsid w:val="006515AE"/>
    <w:rsid w:val="00682C07"/>
    <w:rsid w:val="0081166B"/>
    <w:rsid w:val="008C469D"/>
    <w:rsid w:val="009F1896"/>
    <w:rsid w:val="00A04DD2"/>
    <w:rsid w:val="00A968DC"/>
    <w:rsid w:val="00B93A99"/>
    <w:rsid w:val="00C53290"/>
    <w:rsid w:val="00CC5183"/>
    <w:rsid w:val="00D00ABE"/>
    <w:rsid w:val="00E36938"/>
    <w:rsid w:val="00E36BA4"/>
    <w:rsid w:val="00E62BE5"/>
    <w:rsid w:val="00E83B2A"/>
    <w:rsid w:val="00EB2382"/>
    <w:rsid w:val="00EE3A4D"/>
    <w:rsid w:val="00EF72B5"/>
    <w:rsid w:val="00F62D5F"/>
    <w:rsid w:val="00FC2D4D"/>
    <w:rsid w:val="1ADF72CB"/>
    <w:rsid w:val="229616CC"/>
    <w:rsid w:val="26D72D71"/>
    <w:rsid w:val="2C8E7B8C"/>
    <w:rsid w:val="2CE15FF8"/>
    <w:rsid w:val="2EB113B8"/>
    <w:rsid w:val="43F72433"/>
    <w:rsid w:val="478F112F"/>
    <w:rsid w:val="56D50858"/>
    <w:rsid w:val="592663A1"/>
    <w:rsid w:val="5D21641C"/>
    <w:rsid w:val="632E653E"/>
    <w:rsid w:val="78646BD9"/>
    <w:rsid w:val="7A08533A"/>
    <w:rsid w:val="7A7E1054"/>
    <w:rsid w:val="7F6C08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BDA2"/>
  <w15:docId w15:val="{E87C5123-C2A8-4D76-A2EB-85FA8D4B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宋体"/>
      <w:sz w:val="18"/>
      <w:szCs w:val="18"/>
    </w:rPr>
  </w:style>
  <w:style w:type="paragraph" w:styleId="a5">
    <w:name w:val="footer"/>
    <w:basedOn w:val="a"/>
    <w:uiPriority w:val="99"/>
    <w:semiHidden/>
    <w:unhideWhenUsed/>
    <w:qFormat/>
    <w:pPr>
      <w:tabs>
        <w:tab w:val="center" w:pos="4153"/>
        <w:tab w:val="right" w:pos="8306"/>
      </w:tabs>
      <w:snapToGrid w:val="0"/>
      <w:jc w:val="left"/>
    </w:pPr>
    <w:rPr>
      <w:sz w:val="18"/>
    </w:rPr>
  </w:style>
  <w:style w:type="paragraph" w:styleId="a6">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批注框文本 字符"/>
    <w:basedOn w:val="a0"/>
    <w:link w:val="a3"/>
    <w:uiPriority w:val="99"/>
    <w:semiHidden/>
    <w:qFormat/>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曼</dc:creator>
  <cp:lastModifiedBy>wuxin</cp:lastModifiedBy>
  <cp:revision>2</cp:revision>
  <cp:lastPrinted>2020-12-10T16:13:00Z</cp:lastPrinted>
  <dcterms:created xsi:type="dcterms:W3CDTF">2022-05-12T04:08:00Z</dcterms:created>
  <dcterms:modified xsi:type="dcterms:W3CDTF">2022-05-12T04:08:00Z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E2CEA891C1764192B56573A315AEB1FF</vt:lpwstr>
  </property>
</Properties>
</file>