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20" w:lineRule="exact"/>
        <w:jc w:val="center"/>
        <w:rPr>
          <w:rFonts w:ascii="黑体" w:hAnsi="黑体" w:eastAsia="黑体" w:cs="宋体"/>
          <w:b/>
          <w:kern w:val="0"/>
          <w:sz w:val="32"/>
          <w:szCs w:val="32"/>
        </w:rPr>
      </w:pPr>
      <w:r>
        <w:rPr>
          <w:rFonts w:hint="eastAsia" w:ascii="黑体" w:hAnsi="黑体" w:eastAsia="黑体" w:cs="宋体"/>
          <w:b/>
          <w:kern w:val="0"/>
          <w:sz w:val="32"/>
          <w:szCs w:val="32"/>
        </w:rPr>
        <w:t xml:space="preserve">  </w:t>
      </w:r>
    </w:p>
    <w:p>
      <w:pPr>
        <w:widowControl/>
        <w:shd w:val="clear" w:color="auto" w:fill="FFFFFF"/>
        <w:spacing w:before="100" w:beforeAutospacing="1" w:after="100" w:afterAutospacing="1" w:line="420" w:lineRule="exact"/>
        <w:jc w:val="center"/>
        <w:rPr>
          <w:rFonts w:ascii="黑体" w:hAnsi="黑体" w:eastAsia="黑体" w:cs="宋体"/>
          <w:b/>
          <w:kern w:val="0"/>
          <w:sz w:val="32"/>
          <w:szCs w:val="32"/>
        </w:rPr>
      </w:pPr>
    </w:p>
    <w:p>
      <w:pPr>
        <w:widowControl/>
        <w:shd w:val="clear" w:color="auto" w:fill="FFFFFF"/>
        <w:spacing w:before="100" w:beforeAutospacing="1" w:after="100" w:afterAutospacing="1" w:line="420" w:lineRule="exact"/>
        <w:jc w:val="center"/>
        <w:rPr>
          <w:rFonts w:ascii="黑体" w:hAnsi="黑体" w:eastAsia="黑体" w:cs="宋体"/>
          <w:b/>
          <w:kern w:val="0"/>
          <w:sz w:val="32"/>
          <w:szCs w:val="32"/>
        </w:rPr>
      </w:pPr>
    </w:p>
    <w:p>
      <w:pPr>
        <w:adjustRightInd w:val="0"/>
        <w:snapToGrid w:val="0"/>
        <w:spacing w:line="420" w:lineRule="exact"/>
        <w:jc w:val="center"/>
        <w:rPr>
          <w:rFonts w:eastAsia="黑体"/>
          <w:sz w:val="32"/>
          <w:szCs w:val="32"/>
        </w:rPr>
      </w:pPr>
    </w:p>
    <w:p>
      <w:pPr>
        <w:adjustRightInd w:val="0"/>
        <w:snapToGrid w:val="0"/>
        <w:spacing w:line="420" w:lineRule="exact"/>
        <w:jc w:val="center"/>
        <w:rPr>
          <w:rFonts w:ascii="仿宋" w:hAnsi="仿宋" w:eastAsia="仿宋"/>
          <w:sz w:val="32"/>
          <w:szCs w:val="32"/>
        </w:rPr>
      </w:pPr>
    </w:p>
    <w:p>
      <w:pPr>
        <w:adjustRightInd w:val="0"/>
        <w:snapToGrid w:val="0"/>
        <w:spacing w:line="420" w:lineRule="exact"/>
        <w:jc w:val="center"/>
        <w:rPr>
          <w:rFonts w:ascii="仿宋" w:hAnsi="仿宋" w:eastAsia="仿宋"/>
          <w:sz w:val="32"/>
          <w:szCs w:val="32"/>
        </w:rPr>
      </w:pPr>
    </w:p>
    <w:p>
      <w:pPr>
        <w:adjustRightInd w:val="0"/>
        <w:snapToGrid w:val="0"/>
        <w:spacing w:line="400" w:lineRule="exact"/>
        <w:jc w:val="center"/>
        <w:rPr>
          <w:rFonts w:ascii="仿宋" w:hAnsi="仿宋" w:eastAsia="仿宋"/>
          <w:sz w:val="32"/>
          <w:szCs w:val="32"/>
        </w:rPr>
      </w:pPr>
    </w:p>
    <w:p>
      <w:pPr>
        <w:adjustRightInd w:val="0"/>
        <w:snapToGrid w:val="0"/>
        <w:spacing w:line="400" w:lineRule="exact"/>
        <w:jc w:val="center"/>
        <w:rPr>
          <w:rFonts w:ascii="仿宋" w:hAnsi="仿宋" w:eastAsia="仿宋"/>
          <w:sz w:val="32"/>
          <w:szCs w:val="32"/>
        </w:rPr>
      </w:pPr>
    </w:p>
    <w:p>
      <w:pPr>
        <w:adjustRightInd w:val="0"/>
        <w:snapToGrid w:val="0"/>
        <w:spacing w:line="400" w:lineRule="exact"/>
        <w:jc w:val="center"/>
        <w:rPr>
          <w:rFonts w:ascii="仿宋" w:hAnsi="仿宋" w:eastAsia="仿宋"/>
          <w:sz w:val="32"/>
          <w:szCs w:val="32"/>
        </w:rPr>
      </w:pPr>
    </w:p>
    <w:p>
      <w:pPr>
        <w:spacing w:line="240" w:lineRule="atLeast"/>
        <w:jc w:val="center"/>
        <w:rPr>
          <w:rFonts w:ascii="仿宋_GB2312" w:hAnsi="宋体" w:eastAsia="仿宋_GB2312"/>
          <w:sz w:val="32"/>
          <w:szCs w:val="32"/>
        </w:rPr>
      </w:pPr>
      <w:r>
        <w:rPr>
          <w:rFonts w:hint="eastAsia" w:ascii="仿宋_GB2312" w:hAnsi="宋体" w:eastAsia="仿宋_GB2312"/>
          <w:sz w:val="32"/>
          <w:szCs w:val="32"/>
        </w:rPr>
        <w:t>徐卫健〔202</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145</w:t>
      </w:r>
      <w:r>
        <w:rPr>
          <w:rFonts w:hint="eastAsia" w:ascii="仿宋_GB2312" w:hAnsi="宋体" w:eastAsia="仿宋_GB2312"/>
          <w:sz w:val="32"/>
          <w:szCs w:val="32"/>
        </w:rPr>
        <w:t>号</w:t>
      </w:r>
    </w:p>
    <w:p>
      <w:pPr>
        <w:adjustRightInd w:val="0"/>
        <w:snapToGrid w:val="0"/>
        <w:spacing w:line="700" w:lineRule="exact"/>
        <w:jc w:val="center"/>
        <w:rPr>
          <w:rFonts w:eastAsia="黑体"/>
          <w:szCs w:val="21"/>
        </w:rPr>
      </w:pPr>
    </w:p>
    <w:p>
      <w:pPr>
        <w:adjustRightInd w:val="0"/>
        <w:snapToGrid w:val="0"/>
        <w:spacing w:line="56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关于印发《</w:t>
      </w:r>
      <w:r>
        <w:rPr>
          <w:rFonts w:hint="eastAsia" w:ascii="方正小标宋简体" w:eastAsia="方正小标宋简体"/>
          <w:color w:val="000000"/>
          <w:kern w:val="0"/>
          <w:sz w:val="44"/>
          <w:szCs w:val="44"/>
          <w:lang w:eastAsia="zh-CN"/>
        </w:rPr>
        <w:t>徐汇区流产后关爱（</w:t>
      </w:r>
      <w:r>
        <w:rPr>
          <w:rFonts w:hint="eastAsia" w:ascii="方正小标宋简体" w:eastAsia="方正小标宋简体"/>
          <w:color w:val="000000"/>
          <w:kern w:val="0"/>
          <w:sz w:val="44"/>
          <w:szCs w:val="44"/>
          <w:lang w:val="en-US" w:eastAsia="zh-CN"/>
        </w:rPr>
        <w:t>PAC</w:t>
      </w:r>
      <w:r>
        <w:rPr>
          <w:rFonts w:hint="eastAsia" w:ascii="方正小标宋简体" w:eastAsia="方正小标宋简体"/>
          <w:color w:val="000000"/>
          <w:kern w:val="0"/>
          <w:sz w:val="44"/>
          <w:szCs w:val="44"/>
          <w:lang w:eastAsia="zh-CN"/>
        </w:rPr>
        <w:t>）工作规范</w:t>
      </w:r>
      <w:r>
        <w:rPr>
          <w:rFonts w:hint="eastAsia" w:ascii="方正小标宋简体" w:eastAsia="方正小标宋简体"/>
          <w:color w:val="000000"/>
          <w:kern w:val="0"/>
          <w:sz w:val="44"/>
          <w:szCs w:val="44"/>
        </w:rPr>
        <w:t>》的通知</w:t>
      </w:r>
    </w:p>
    <w:p>
      <w:pPr>
        <w:adjustRightInd w:val="0"/>
        <w:snapToGrid w:val="0"/>
        <w:spacing w:line="560" w:lineRule="exact"/>
        <w:jc w:val="center"/>
        <w:rPr>
          <w:rFonts w:ascii="方正小标宋简体" w:eastAsia="方正小标宋简体"/>
          <w:color w:val="000000"/>
          <w:kern w:val="0"/>
          <w:sz w:val="44"/>
          <w:szCs w:val="44"/>
        </w:rPr>
      </w:pPr>
    </w:p>
    <w:p>
      <w:pPr>
        <w:spacing w:line="560" w:lineRule="exact"/>
        <w:rPr>
          <w:rFonts w:ascii="仿宋_GB2312" w:eastAsia="仿宋_GB2312"/>
          <w:sz w:val="32"/>
          <w:szCs w:val="32"/>
        </w:rPr>
      </w:pPr>
      <w:bookmarkStart w:id="0" w:name="主送单位"/>
      <w:bookmarkEnd w:id="0"/>
      <w:r>
        <w:rPr>
          <w:rFonts w:hint="eastAsia" w:ascii="仿宋_GB2312" w:eastAsia="仿宋_GB2312"/>
          <w:sz w:val="32"/>
          <w:szCs w:val="32"/>
        </w:rPr>
        <w:t>各</w:t>
      </w:r>
      <w:r>
        <w:rPr>
          <w:rFonts w:hint="eastAsia" w:ascii="仿宋_GB2312" w:eastAsia="仿宋_GB2312"/>
          <w:sz w:val="32"/>
          <w:szCs w:val="32"/>
          <w:lang w:eastAsia="zh-CN"/>
        </w:rPr>
        <w:t>相关医疗机构</w:t>
      </w:r>
      <w:r>
        <w:rPr>
          <w:rFonts w:hint="eastAsia" w:ascii="仿宋_GB2312" w:eastAsia="仿宋_GB2312"/>
          <w:sz w:val="32"/>
          <w:szCs w:val="32"/>
        </w:rPr>
        <w:t>:</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bookmarkStart w:id="1" w:name="内容"/>
      <w:bookmarkEnd w:id="1"/>
      <w:r>
        <w:rPr>
          <w:rStyle w:val="13"/>
          <w:rFonts w:hint="eastAsia" w:ascii="仿宋_GB2312" w:hAnsi="仿宋" w:eastAsia="仿宋_GB2312" w:cstheme="minorBidi"/>
          <w:color w:val="000000"/>
          <w:kern w:val="2"/>
          <w:sz w:val="32"/>
          <w:szCs w:val="32"/>
          <w:lang w:val="en-US" w:eastAsia="zh-CN" w:bidi="ar-SA"/>
        </w:rPr>
        <w:t>为保证流产后关爱（PAC）服务的全面推广，降低育龄妇女的人工流产率和重复流产率，尤其是降低流产后1年内的重复人工流产率，2016年开始徐汇区率先在全区所有计划生育服务机构全覆盖推广创建流产后关爱门诊。经过五年努力实践，我区人工流产数逐年下降，同时在项目开展过程中培养了一批优秀的PAC服务专职服务人员及业务骨干，创建了三家PAC服务全国品牌医院。为进一步降低育龄人群意外妊娠率，保障女性生育能力和身心健康，不断强化服务流程的合理化、服务内容的科学化，结合我区实际，制定《徐汇区流产后关爱（PAC）工作规范》</w:t>
      </w:r>
      <w:r>
        <w:rPr>
          <w:rStyle w:val="13"/>
          <w:rFonts w:hint="default" w:ascii="仿宋_GB2312" w:hAnsi="仿宋" w:eastAsia="仿宋_GB2312" w:cstheme="minorBidi"/>
          <w:color w:val="000000"/>
          <w:kern w:val="2"/>
          <w:sz w:val="32"/>
          <w:szCs w:val="32"/>
          <w:lang w:val="en-US" w:eastAsia="zh-CN" w:bidi="ar-SA"/>
        </w:rPr>
        <w:t>，具体如下</w:t>
      </w:r>
      <w:bookmarkStart w:id="2" w:name="bookmark29"/>
      <w:bookmarkStart w:id="3" w:name="bookmark28"/>
      <w:bookmarkStart w:id="4" w:name="bookmark27"/>
      <w:bookmarkStart w:id="5" w:name="bookmark30"/>
      <w:r>
        <w:rPr>
          <w:rStyle w:val="13"/>
          <w:rFonts w:hint="default" w:ascii="仿宋_GB2312" w:hAnsi="仿宋" w:eastAsia="仿宋_GB2312" w:cstheme="minorBidi"/>
          <w:color w:val="000000"/>
          <w:kern w:val="2"/>
          <w:sz w:val="32"/>
          <w:szCs w:val="32"/>
          <w:lang w:val="en-US" w:eastAsia="zh-CN" w:bidi="ar-SA"/>
        </w:rPr>
        <w:t>：</w:t>
      </w:r>
    </w:p>
    <w:bookmarkEnd w:id="2"/>
    <w:p>
      <w:pPr>
        <w:widowControl/>
        <w:snapToGrid w:val="0"/>
        <w:spacing w:line="500" w:lineRule="exact"/>
        <w:ind w:firstLine="643" w:firstLineChars="200"/>
        <w:jc w:val="both"/>
        <w:textAlignment w:val="baseline"/>
        <w:rPr>
          <w:rStyle w:val="13"/>
          <w:rFonts w:hint="eastAsia" w:ascii="黑体" w:hAnsi="黑体" w:eastAsia="黑体" w:cs="黑体"/>
          <w:b/>
          <w:kern w:val="2"/>
          <w:sz w:val="32"/>
          <w:szCs w:val="32"/>
          <w:lang w:eastAsia="zh-CN" w:bidi="ar-SA"/>
        </w:rPr>
      </w:pPr>
      <w:r>
        <w:rPr>
          <w:rStyle w:val="13"/>
          <w:rFonts w:hint="eastAsia" w:ascii="黑体" w:hAnsi="黑体" w:eastAsia="黑体" w:cs="黑体"/>
          <w:b/>
          <w:kern w:val="2"/>
          <w:sz w:val="32"/>
          <w:szCs w:val="32"/>
          <w:lang w:val="en-US" w:eastAsia="zh-CN" w:bidi="ar-SA"/>
        </w:rPr>
        <w:t>一、</w:t>
      </w:r>
      <w:bookmarkEnd w:id="3"/>
      <w:bookmarkEnd w:id="4"/>
      <w:bookmarkEnd w:id="5"/>
      <w:r>
        <w:rPr>
          <w:rStyle w:val="13"/>
          <w:rFonts w:hint="eastAsia" w:ascii="黑体" w:hAnsi="黑体" w:eastAsia="黑体" w:cs="黑体"/>
          <w:b/>
          <w:kern w:val="2"/>
          <w:sz w:val="32"/>
          <w:szCs w:val="32"/>
          <w:lang w:eastAsia="zh-CN" w:bidi="ar-SA"/>
        </w:rPr>
        <w:t>工作目标</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default" w:ascii="仿宋_GB2312" w:hAnsi="仿宋" w:eastAsia="仿宋_GB2312" w:cstheme="minorBidi"/>
          <w:color w:val="000000"/>
          <w:kern w:val="2"/>
          <w:sz w:val="32"/>
          <w:szCs w:val="32"/>
          <w:lang w:val="en-US" w:eastAsia="zh-CN" w:bidi="ar-SA"/>
        </w:rPr>
        <w:t>（一）</w:t>
      </w:r>
      <w:r>
        <w:rPr>
          <w:rStyle w:val="13"/>
          <w:rFonts w:hint="eastAsia" w:ascii="仿宋_GB2312" w:hAnsi="仿宋" w:eastAsia="仿宋_GB2312" w:cstheme="minorBidi"/>
          <w:color w:val="000000"/>
          <w:kern w:val="2"/>
          <w:sz w:val="32"/>
          <w:szCs w:val="32"/>
          <w:lang w:val="en-US" w:eastAsia="zh-CN" w:bidi="ar-SA"/>
        </w:rPr>
        <w:t>加强育龄妇女健康宣传、跟踪指导，预防意外妊娠，降低不全流产和不安全流产的并发症导致的妇女死亡率和患病率；</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default" w:ascii="仿宋_GB2312" w:hAnsi="仿宋" w:eastAsia="仿宋_GB2312" w:cstheme="minorBidi"/>
          <w:color w:val="000000"/>
          <w:kern w:val="2"/>
          <w:sz w:val="32"/>
          <w:szCs w:val="32"/>
          <w:lang w:val="en-US" w:eastAsia="zh-CN" w:bidi="ar-SA"/>
        </w:rPr>
        <w:t>（二）</w:t>
      </w:r>
      <w:r>
        <w:rPr>
          <w:rStyle w:val="13"/>
          <w:rFonts w:hint="eastAsia" w:ascii="仿宋_GB2312" w:hAnsi="仿宋" w:eastAsia="仿宋_GB2312" w:cstheme="minorBidi"/>
          <w:color w:val="000000"/>
          <w:kern w:val="2"/>
          <w:sz w:val="32"/>
          <w:szCs w:val="32"/>
          <w:lang w:val="en-US" w:eastAsia="zh-CN" w:bidi="ar-SA"/>
        </w:rPr>
        <w:t>提高人工流产后女性的有效避孕率，降低服务对象流产后1年内重复流产率，保护生育能力，维护妇女健康；</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（三）促进有计划的妊娠。</w:t>
      </w:r>
    </w:p>
    <w:p>
      <w:pPr>
        <w:pStyle w:val="14"/>
        <w:spacing w:line="560" w:lineRule="exact"/>
        <w:ind w:firstLine="643" w:firstLineChars="200"/>
        <w:jc w:val="both"/>
        <w:rPr>
          <w:rStyle w:val="13"/>
          <w:rFonts w:hint="eastAsia" w:ascii="黑体" w:hAnsi="黑体" w:eastAsia="黑体" w:cs="黑体"/>
          <w:b/>
          <w:kern w:val="2"/>
          <w:sz w:val="32"/>
          <w:szCs w:val="32"/>
          <w:lang w:val="en-US" w:eastAsia="zh-CN" w:bidi="ar-SA"/>
        </w:rPr>
      </w:pPr>
      <w:r>
        <w:rPr>
          <w:rStyle w:val="13"/>
          <w:rFonts w:hint="eastAsia" w:ascii="黑体" w:hAnsi="黑体" w:eastAsia="黑体" w:cs="黑体"/>
          <w:b/>
          <w:kern w:val="2"/>
          <w:sz w:val="32"/>
          <w:szCs w:val="32"/>
          <w:lang w:val="en-US" w:eastAsia="zh-CN" w:bidi="ar-SA"/>
        </w:rPr>
        <w:t>二、考核指标</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咨询宣教覆盖率≥90%;流产后避孕知情同意书签署率100%;高效避孕方法立即落实率≥50%;3个月高效避孕措施续用率≥30%;1个月随访率≥80%;3个月随访率≥60%;1年内重复流产率﹤5‰;全年人工流产总数持续下降。</w:t>
      </w:r>
    </w:p>
    <w:p>
      <w:pPr>
        <w:widowControl/>
        <w:snapToGrid w:val="0"/>
        <w:spacing w:line="500" w:lineRule="exact"/>
        <w:ind w:firstLine="575" w:firstLineChars="179"/>
        <w:jc w:val="both"/>
        <w:textAlignment w:val="baseline"/>
        <w:rPr>
          <w:rStyle w:val="13"/>
          <w:rFonts w:hint="eastAsia" w:ascii="黑体" w:hAnsi="黑体" w:eastAsia="黑体" w:cs="黑体"/>
          <w:b/>
          <w:kern w:val="2"/>
          <w:sz w:val="32"/>
          <w:szCs w:val="32"/>
          <w:lang w:val="en-US" w:eastAsia="zh-CN" w:bidi="ar-SA"/>
        </w:rPr>
      </w:pPr>
      <w:r>
        <w:rPr>
          <w:rStyle w:val="13"/>
          <w:rFonts w:hint="eastAsia" w:ascii="黑体" w:hAnsi="黑体" w:eastAsia="黑体" w:cs="黑体"/>
          <w:b/>
          <w:kern w:val="2"/>
          <w:sz w:val="32"/>
          <w:szCs w:val="32"/>
          <w:lang w:val="en-US" w:eastAsia="zh-CN" w:bidi="ar-SA"/>
        </w:rPr>
        <w:t>三、工作任务</w:t>
      </w:r>
    </w:p>
    <w:p>
      <w:pPr>
        <w:pStyle w:val="12"/>
        <w:tabs>
          <w:tab w:val="left" w:pos="1202"/>
        </w:tabs>
        <w:spacing w:line="560" w:lineRule="exact"/>
        <w:ind w:firstLine="643" w:firstLineChars="200"/>
        <w:jc w:val="both"/>
        <w:rPr>
          <w:rStyle w:val="13"/>
          <w:rFonts w:hint="eastAsia" w:ascii="楷体" w:hAnsi="楷体" w:eastAsia="楷体" w:cs="楷体"/>
          <w:b/>
          <w:bCs/>
          <w:color w:val="000000"/>
          <w:kern w:val="2"/>
          <w:sz w:val="32"/>
          <w:szCs w:val="32"/>
          <w:lang w:val="en-US" w:eastAsia="zh-CN" w:bidi="ar-SA"/>
        </w:rPr>
      </w:pPr>
      <w:r>
        <w:rPr>
          <w:rStyle w:val="13"/>
          <w:rFonts w:hint="eastAsia" w:ascii="楷体" w:hAnsi="楷体" w:eastAsia="楷体" w:cs="楷体"/>
          <w:b/>
          <w:bCs/>
          <w:color w:val="000000"/>
          <w:kern w:val="2"/>
          <w:sz w:val="32"/>
          <w:szCs w:val="32"/>
          <w:lang w:val="en-US" w:eastAsia="zh-CN" w:bidi="ar-SA"/>
        </w:rPr>
        <w:t>(一)整合区级资源，加大宣传力度</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eastAsia="zh-CN" w:bidi="ar-SA"/>
        </w:rPr>
        <w:t>充分发挥辖区内</w:t>
      </w:r>
      <w:r>
        <w:rPr>
          <w:rStyle w:val="13"/>
          <w:rFonts w:hint="eastAsia" w:ascii="仿宋_GB2312" w:hAnsi="仿宋" w:eastAsia="仿宋_GB2312" w:cstheme="minorBidi"/>
          <w:color w:val="000000"/>
          <w:kern w:val="2"/>
          <w:sz w:val="32"/>
          <w:szCs w:val="32"/>
          <w:lang w:val="en-US" w:eastAsia="zh-CN" w:bidi="ar-SA"/>
        </w:rPr>
        <w:t>优势资源，进行跨体系、跨层级宣教，扩大影响面和覆盖面；重点围绕青少年和育龄人群，搭建服务平台，开展分层、分类宣传指导服务；通过聚焦社区、家庭、学校开展对区域内育龄妇女、青少年进行性与生殖健康、避孕节育知情选择等宣教，提高育龄妇女、青少年生殖健康知识水平，防止意外妊娠发生。</w:t>
      </w:r>
    </w:p>
    <w:p>
      <w:pPr>
        <w:pStyle w:val="12"/>
        <w:spacing w:line="560" w:lineRule="exact"/>
        <w:ind w:firstLine="643" w:firstLineChars="200"/>
        <w:jc w:val="both"/>
        <w:rPr>
          <w:rStyle w:val="13"/>
          <w:rFonts w:hint="eastAsia" w:ascii="楷体" w:hAnsi="楷体" w:eastAsia="楷体" w:cs="楷体"/>
          <w:b/>
          <w:bCs/>
          <w:color w:val="000000"/>
          <w:kern w:val="2"/>
          <w:sz w:val="32"/>
          <w:szCs w:val="32"/>
          <w:lang w:val="en-US" w:eastAsia="zh-CN" w:bidi="ar-SA"/>
        </w:rPr>
      </w:pPr>
      <w:r>
        <w:rPr>
          <w:rStyle w:val="13"/>
          <w:rFonts w:hint="eastAsia" w:ascii="楷体" w:hAnsi="楷体" w:eastAsia="楷体" w:cs="楷体"/>
          <w:b/>
          <w:bCs/>
          <w:color w:val="000000"/>
          <w:kern w:val="2"/>
          <w:sz w:val="32"/>
          <w:szCs w:val="32"/>
          <w:lang w:val="en-US" w:eastAsia="zh-CN" w:bidi="ar-SA"/>
        </w:rPr>
        <w:t>（二）开展关爱服务，完善工作机制</w:t>
      </w:r>
    </w:p>
    <w:p>
      <w:pPr>
        <w:pStyle w:val="12"/>
        <w:spacing w:line="560" w:lineRule="exact"/>
        <w:ind w:firstLine="56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辖区内开展计划生育技术服务的医疗机构要进一步完善院内PAC服务工作模式，应将健康教育、专业咨询和避孕节育服务纳入常规工作，进行全链式规范化管理；改善咨询服务工作环境,原则以单独咨询为主,集体咨询为辅；接受流产对象的就诊及电话咨询服务；重点加强对青少年、高危人群进行人工流产后的避孕知识普及和避孕措施的落实。</w:t>
      </w:r>
    </w:p>
    <w:p>
      <w:pPr>
        <w:widowControl/>
        <w:snapToGrid w:val="0"/>
        <w:spacing w:line="500" w:lineRule="exact"/>
        <w:ind w:firstLine="575" w:firstLineChars="179"/>
        <w:jc w:val="both"/>
        <w:textAlignment w:val="baseline"/>
        <w:rPr>
          <w:rStyle w:val="13"/>
          <w:rFonts w:hint="eastAsia" w:ascii="黑体" w:hAnsi="黑体" w:eastAsia="黑体" w:cs="黑体"/>
          <w:b/>
          <w:kern w:val="2"/>
          <w:sz w:val="32"/>
          <w:szCs w:val="32"/>
          <w:lang w:val="en-US" w:eastAsia="zh-CN" w:bidi="ar-SA"/>
        </w:rPr>
      </w:pPr>
      <w:r>
        <w:rPr>
          <w:rStyle w:val="13"/>
          <w:rFonts w:hint="eastAsia" w:ascii="黑体" w:hAnsi="黑体" w:eastAsia="黑体" w:cs="黑体"/>
          <w:b/>
          <w:kern w:val="2"/>
          <w:sz w:val="32"/>
          <w:szCs w:val="32"/>
          <w:lang w:val="en-US" w:eastAsia="zh-CN" w:bidi="ar-SA"/>
        </w:rPr>
        <w:t>四、工作规范</w:t>
      </w:r>
    </w:p>
    <w:p>
      <w:pPr>
        <w:widowControl/>
        <w:snapToGrid w:val="0"/>
        <w:spacing w:line="500" w:lineRule="exact"/>
        <w:ind w:firstLine="575" w:firstLineChars="179"/>
        <w:jc w:val="both"/>
        <w:textAlignment w:val="baseline"/>
        <w:rPr>
          <w:rStyle w:val="13"/>
          <w:rFonts w:hint="eastAsia" w:ascii="楷体" w:hAnsi="楷体" w:eastAsia="楷体" w:cs="楷体"/>
          <w:b/>
          <w:kern w:val="2"/>
          <w:sz w:val="32"/>
          <w:szCs w:val="32"/>
          <w:lang w:val="en-US" w:eastAsia="zh-CN" w:bidi="ar-SA"/>
        </w:rPr>
      </w:pPr>
      <w:bookmarkStart w:id="6" w:name="bookmark8"/>
      <w:bookmarkEnd w:id="6"/>
      <w:r>
        <w:rPr>
          <w:rStyle w:val="13"/>
          <w:rFonts w:hint="eastAsia" w:ascii="楷体" w:hAnsi="楷体" w:eastAsia="楷体" w:cs="楷体"/>
          <w:b/>
          <w:kern w:val="2"/>
          <w:sz w:val="32"/>
          <w:szCs w:val="32"/>
          <w:lang w:val="en-US" w:eastAsia="zh-CN" w:bidi="ar-SA"/>
        </w:rPr>
        <w:t>（一）推行范围</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辖区内经许可开展节育手术和终止妊娠技术的医疗机构。</w:t>
      </w:r>
    </w:p>
    <w:p>
      <w:pPr>
        <w:widowControl/>
        <w:snapToGrid w:val="0"/>
        <w:spacing w:line="500" w:lineRule="exact"/>
        <w:ind w:firstLine="575" w:firstLineChars="179"/>
        <w:jc w:val="both"/>
        <w:textAlignment w:val="baseline"/>
        <w:rPr>
          <w:rStyle w:val="13"/>
          <w:rFonts w:hint="eastAsia" w:ascii="楷体" w:hAnsi="楷体" w:eastAsia="楷体" w:cs="楷体"/>
          <w:b/>
          <w:kern w:val="2"/>
          <w:sz w:val="32"/>
          <w:szCs w:val="32"/>
          <w:lang w:val="en-US" w:eastAsia="zh-CN" w:bidi="ar-SA"/>
        </w:rPr>
      </w:pPr>
      <w:r>
        <w:rPr>
          <w:rStyle w:val="13"/>
          <w:rFonts w:hint="eastAsia" w:ascii="楷体" w:hAnsi="楷体" w:eastAsia="楷体" w:cs="楷体"/>
          <w:b/>
          <w:kern w:val="2"/>
          <w:sz w:val="32"/>
          <w:szCs w:val="32"/>
          <w:lang w:val="en-US" w:eastAsia="zh-CN" w:bidi="ar-SA"/>
        </w:rPr>
        <w:t>（二）服务流程</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根据附件1标准流程各计划生育服务机构结合本院实际情况制定PAC服务流程，并在公共就诊区域进行宣传告知。</w:t>
      </w:r>
    </w:p>
    <w:p>
      <w:pPr>
        <w:widowControl/>
        <w:snapToGrid w:val="0"/>
        <w:spacing w:line="500" w:lineRule="exact"/>
        <w:ind w:firstLine="575" w:firstLineChars="179"/>
        <w:jc w:val="both"/>
        <w:textAlignment w:val="baseline"/>
        <w:rPr>
          <w:rStyle w:val="13"/>
          <w:rFonts w:hint="eastAsia" w:ascii="楷体" w:hAnsi="楷体" w:eastAsia="楷体" w:cs="楷体"/>
          <w:b/>
          <w:kern w:val="2"/>
          <w:sz w:val="32"/>
          <w:szCs w:val="32"/>
          <w:lang w:val="en-US" w:eastAsia="zh-CN" w:bidi="ar-SA"/>
        </w:rPr>
      </w:pPr>
      <w:bookmarkStart w:id="7" w:name="bookmark36"/>
      <w:bookmarkStart w:id="8" w:name="bookmark38"/>
      <w:bookmarkStart w:id="9" w:name="bookmark35"/>
      <w:r>
        <w:rPr>
          <w:rStyle w:val="13"/>
          <w:rFonts w:hint="eastAsia" w:ascii="楷体" w:hAnsi="楷体" w:eastAsia="楷体" w:cs="楷体"/>
          <w:b/>
          <w:kern w:val="2"/>
          <w:sz w:val="32"/>
          <w:szCs w:val="32"/>
          <w:lang w:val="en-US" w:eastAsia="zh-CN" w:bidi="ar-SA"/>
        </w:rPr>
        <w:t>（三）设置要求</w:t>
      </w:r>
      <w:bookmarkEnd w:id="7"/>
      <w:bookmarkEnd w:id="8"/>
      <w:bookmarkEnd w:id="9"/>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val="0"/>
          <w:sz w:val="32"/>
          <w:szCs w:val="32"/>
          <w:lang w:eastAsia="zh-CN"/>
        </w:rPr>
        <w:t>PAC相关制度</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 xml:space="preserve">（1）完善工作制度：明确分管领导，落实职责分工，完善工作流程、调配时间表、随访制度、物料管理制度、文件管理制度等； </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（2）落实人员制度：人员配置到位，落实岗位制度、岗位职责、培训计划和考核激励制度等。</w:t>
      </w:r>
    </w:p>
    <w:p>
      <w:pPr>
        <w:widowControl/>
        <w:adjustRightInd w:val="0"/>
        <w:snapToGrid w:val="0"/>
        <w:spacing w:line="560" w:lineRule="exact"/>
        <w:ind w:firstLine="643" w:firstLineChars="200"/>
        <w:rPr>
          <w:rFonts w:hint="eastAsia" w:ascii="楷体" w:hAnsi="楷体" w:eastAsia="楷体" w:cs="楷体"/>
          <w:b/>
          <w:bCs/>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场所配备和要求</w:t>
      </w:r>
      <w:r>
        <w:rPr>
          <w:rFonts w:hint="eastAsia" w:ascii="楷体" w:hAnsi="楷体" w:eastAsia="楷体" w:cs="楷体"/>
          <w:b/>
          <w:bCs/>
          <w:sz w:val="32"/>
          <w:szCs w:val="32"/>
          <w:lang w:eastAsia="zh-CN"/>
        </w:rPr>
        <w:t xml:space="preserve"> </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（1）因地制宜设立，房间独立（温馨、安静、面积约10-15平方米），能够保护咨询对象的隐私，有条件的机构可将咨询室设在方便对象的伴侣或配偶同时接受咨询指导的场所。</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2）配备一桌三椅，咨询医生座椅应与咨询对象座椅同等配置，并配置计划生育咨询相关设施，包括宣传版面、健康教育折页等（内容应涵盖各种避孕节育方法特点和使用注意事项、人工流产危害性和防治性传播性疾病或感染等，并经常更新）、男女生殖器模型、避孕药具样品柜、常用的免费避孕药具等。</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（3）配置资料柜，放置咨询记录登记本、人工流产（药流）手术知情同意书、人流门诊及手术记录、IUD手术知情同意书及各计划生育手术登记等相关记录本。</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（4）配备专用电脑和网络，利用 PAC软件系统，按月生成随访信息表，录入后系统自动统计随访率、完成率等信息，便于对数据进行更好的质控。</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（5）设置专用电话，应将电话号码提供给服务对象，并在就诊区域公示。由专人接听提供咨询，并用于随访。</w:t>
      </w:r>
    </w:p>
    <w:p>
      <w:pPr>
        <w:pStyle w:val="12"/>
        <w:spacing w:line="560" w:lineRule="exact"/>
        <w:ind w:firstLine="643" w:firstLineChars="200"/>
        <w:jc w:val="both"/>
        <w:rPr>
          <w:rStyle w:val="13"/>
          <w:rFonts w:hint="eastAsia" w:ascii="仿宋_GB2312" w:hAnsi="仿宋_GB2312" w:eastAsia="仿宋_GB2312" w:cs="仿宋_GB2312"/>
          <w:b/>
          <w:bCs/>
          <w:color w:val="000000"/>
          <w:kern w:val="2"/>
          <w:sz w:val="32"/>
          <w:szCs w:val="32"/>
          <w:lang w:val="en-US" w:eastAsia="zh-CN" w:bidi="ar-SA"/>
        </w:rPr>
      </w:pPr>
      <w:r>
        <w:rPr>
          <w:rStyle w:val="13"/>
          <w:rFonts w:hint="eastAsia" w:ascii="仿宋_GB2312" w:hAnsi="仿宋_GB2312" w:eastAsia="仿宋_GB2312" w:cs="仿宋_GB2312"/>
          <w:b/>
          <w:bCs/>
          <w:color w:val="000000"/>
          <w:kern w:val="2"/>
          <w:sz w:val="32"/>
          <w:szCs w:val="32"/>
          <w:lang w:val="en-US" w:eastAsia="zh-CN" w:bidi="ar-SA"/>
        </w:rPr>
        <w:t>3.人员配备和要求</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 xml:space="preserve">（1）成立PAC服务团队,其中至少指定一名专人从事流产后宣教咨询服务; </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（2）咨询人员参加规范化PAC咨询员培训,获取合格证书;</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（3）咨询人员熟悉PAC岗位职责要求和工作流程;热爱本职工作,认同PAC服务理念;PAC服务过程中传递的信息应包涵PAC指南中规定的内容,传达的知识科学准确。</w:t>
      </w:r>
    </w:p>
    <w:p>
      <w:pPr>
        <w:widowControl/>
        <w:snapToGrid w:val="0"/>
        <w:spacing w:line="500" w:lineRule="exact"/>
        <w:ind w:firstLine="575" w:firstLineChars="179"/>
        <w:jc w:val="both"/>
        <w:textAlignment w:val="baseline"/>
        <w:rPr>
          <w:rStyle w:val="13"/>
          <w:rFonts w:hint="eastAsia" w:ascii="楷体" w:hAnsi="楷体" w:eastAsia="楷体" w:cs="楷体"/>
          <w:b/>
          <w:kern w:val="2"/>
          <w:sz w:val="32"/>
          <w:szCs w:val="32"/>
          <w:lang w:val="en-US" w:eastAsia="zh-CN" w:bidi="ar-SA"/>
        </w:rPr>
      </w:pPr>
      <w:bookmarkStart w:id="10" w:name="bookmark75"/>
      <w:bookmarkEnd w:id="10"/>
      <w:r>
        <w:rPr>
          <w:rStyle w:val="13"/>
          <w:rFonts w:hint="eastAsia" w:ascii="楷体" w:hAnsi="楷体" w:eastAsia="楷体" w:cs="楷体"/>
          <w:b/>
          <w:kern w:val="2"/>
          <w:sz w:val="32"/>
          <w:szCs w:val="32"/>
          <w:lang w:val="en-US" w:eastAsia="zh-CN" w:bidi="ar-SA"/>
        </w:rPr>
        <w:t>（四）服务内容</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人工流产前，在候诊区给流产妇女发放健康处方，指导观看宣传展板和宣教视频，进行生殖健康宣传教育。进入诊室后，填写术前咨询记录表（附件2），完善人工流产前常规准备，签署知情同意书（附件3）。</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预约流产时间，咨询室内对流产妇女及其配偶进行一对一单独咨询，告知人工流产的危害和可能的并发症，交代流产前后注意事项，进行流产后避孕咨询，提供流产后用药和必要的避孕药具，预约随访时间。</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人工流产当日，在手术候诊区对流产妇女进行集体咨询，再次交代人工流产注意事项和宣教流产后避孕知识。在手术室为流产妇女实施人工流产手术，根据流产前咨询结果，对要求放置宫内节育器的妇女，排除禁忌症后可以立即放置。</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术后观察室，对要求服用口服避孕药的妇女提醒当天立即开始使用，包括药物流产的妇女。对于不愿意使用避孕药的妇女提供避孕工具。交待如何避免和尽早发现流产并发症等注意事项，同时强调流产后再次妊娠的风险，指导落实避孕措施以及避孕失败后紧急避孕方法。除即时放置宫内节育器外，为服务对象提供3个月以上的免费避孕药具，发放人流后关爱服务包。</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人工流产后1个月，要求流产妇女返诊进行首次随访，填写术后1个月随访登记表（附件4），了解妇女流产后身体和月经恢复情况，评估避孕方法使用情况。</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流产后3、6、12个月， 再次随访流产妇女避孕方法使用情况（附件5），指导后续使用，并告知获取后续服务的途径。可以采用电话随访的方式。</w:t>
      </w:r>
    </w:p>
    <w:p>
      <w:pPr>
        <w:pStyle w:val="12"/>
        <w:spacing w:line="560" w:lineRule="exact"/>
        <w:ind w:firstLine="643" w:firstLineChars="200"/>
        <w:jc w:val="both"/>
        <w:rPr>
          <w:rStyle w:val="13"/>
          <w:rFonts w:hint="eastAsia" w:ascii="黑体" w:hAnsi="黑体" w:eastAsia="黑体" w:cs="黑体"/>
          <w:b/>
          <w:bCs/>
          <w:color w:val="000000"/>
          <w:kern w:val="2"/>
          <w:sz w:val="32"/>
          <w:szCs w:val="32"/>
          <w:lang w:val="en-US" w:eastAsia="zh-CN" w:bidi="ar-SA"/>
        </w:rPr>
      </w:pPr>
      <w:bookmarkStart w:id="11" w:name="bookmark47"/>
      <w:bookmarkStart w:id="12" w:name="bookmark50"/>
      <w:bookmarkStart w:id="13" w:name="bookmark48"/>
      <w:r>
        <w:rPr>
          <w:rStyle w:val="13"/>
          <w:rFonts w:hint="eastAsia" w:ascii="黑体" w:hAnsi="黑体" w:eastAsia="黑体" w:cs="黑体"/>
          <w:b/>
          <w:bCs/>
          <w:color w:val="000000"/>
          <w:kern w:val="2"/>
          <w:sz w:val="32"/>
          <w:szCs w:val="32"/>
          <w:lang w:val="en-US" w:eastAsia="zh-CN" w:bidi="ar-SA"/>
        </w:rPr>
        <w:t>五、服务标准</w:t>
      </w:r>
      <w:bookmarkEnd w:id="11"/>
      <w:bookmarkEnd w:id="12"/>
      <w:bookmarkEnd w:id="13"/>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bookmarkStart w:id="14" w:name="bookmark51"/>
      <w:bookmarkEnd w:id="14"/>
      <w:r>
        <w:rPr>
          <w:rStyle w:val="13"/>
          <w:rFonts w:hint="eastAsia" w:ascii="仿宋_GB2312" w:hAnsi="仿宋" w:eastAsia="仿宋_GB2312" w:cstheme="minorBidi"/>
          <w:color w:val="000000"/>
          <w:kern w:val="2"/>
          <w:sz w:val="32"/>
          <w:szCs w:val="32"/>
          <w:lang w:val="en-US" w:eastAsia="zh-CN" w:bidi="ar-SA"/>
        </w:rPr>
        <w:t>（一）咨询宣教患者覆盖率90%以上；</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bookmarkStart w:id="15" w:name="bookmark52"/>
      <w:bookmarkEnd w:id="15"/>
      <w:r>
        <w:rPr>
          <w:rStyle w:val="13"/>
          <w:rFonts w:hint="eastAsia" w:ascii="仿宋_GB2312" w:hAnsi="仿宋" w:eastAsia="仿宋_GB2312" w:cstheme="minorBidi"/>
          <w:color w:val="000000"/>
          <w:kern w:val="2"/>
          <w:sz w:val="32"/>
          <w:szCs w:val="32"/>
          <w:lang w:val="en-US" w:eastAsia="zh-CN" w:bidi="ar-SA"/>
        </w:rPr>
        <w:t>（二）流产后避孕知情同意书签署率100%以上，并由医生签名；</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bookmarkStart w:id="16" w:name="bookmark53"/>
      <w:bookmarkEnd w:id="16"/>
      <w:r>
        <w:rPr>
          <w:rStyle w:val="13"/>
          <w:rFonts w:hint="eastAsia" w:ascii="仿宋_GB2312" w:hAnsi="仿宋" w:eastAsia="仿宋_GB2312" w:cstheme="minorBidi"/>
          <w:color w:val="000000"/>
          <w:kern w:val="2"/>
          <w:sz w:val="32"/>
          <w:szCs w:val="32"/>
          <w:lang w:val="en-US" w:eastAsia="zh-CN" w:bidi="ar-SA"/>
        </w:rPr>
        <w:t>（三）未立即落实高效避孕措施（如COC/IUD/IUS ）者应记录原因，并重点随访，在返诊时落实并记录；</w:t>
      </w:r>
    </w:p>
    <w:p>
      <w:pPr>
        <w:pStyle w:val="12"/>
        <w:spacing w:line="560" w:lineRule="exact"/>
        <w:ind w:firstLine="640" w:firstLineChars="200"/>
        <w:jc w:val="both"/>
        <w:rPr>
          <w:rStyle w:val="13"/>
          <w:rFonts w:hint="eastAsia" w:ascii="仿宋_GB2312" w:hAnsi="仿宋" w:eastAsia="仿宋_GB2312" w:cstheme="minorBidi"/>
          <w:color w:val="000000"/>
          <w:kern w:val="2"/>
          <w:sz w:val="32"/>
          <w:szCs w:val="32"/>
          <w:lang w:val="en-US" w:eastAsia="zh-CN" w:bidi="ar-SA"/>
        </w:rPr>
      </w:pPr>
      <w:bookmarkStart w:id="17" w:name="bookmark54"/>
      <w:bookmarkEnd w:id="17"/>
      <w:r>
        <w:rPr>
          <w:rStyle w:val="13"/>
          <w:rFonts w:hint="eastAsia" w:ascii="仿宋_GB2312" w:hAnsi="仿宋" w:eastAsia="仿宋_GB2312" w:cstheme="minorBidi"/>
          <w:color w:val="000000"/>
          <w:kern w:val="2"/>
          <w:sz w:val="32"/>
          <w:szCs w:val="32"/>
          <w:lang w:val="en-US" w:eastAsia="zh-CN" w:bidi="ar-SA"/>
        </w:rPr>
        <w:t>（四）重点保证流产后3个月内高效避孕方法续用率，避免空白期，例如尽可能首次提供3个周期避孕药具，或在落实长效避孕方法前提供过渡使用的高效避孕方法。</w:t>
      </w:r>
      <w:bookmarkStart w:id="18" w:name="bookmark70"/>
      <w:bookmarkStart w:id="19" w:name="bookmark72"/>
      <w:bookmarkStart w:id="20" w:name="bookmark69"/>
      <w:bookmarkStart w:id="21" w:name="bookmark71"/>
    </w:p>
    <w:bookmarkEnd w:id="18"/>
    <w:bookmarkEnd w:id="19"/>
    <w:bookmarkEnd w:id="20"/>
    <w:bookmarkEnd w:id="21"/>
    <w:p>
      <w:pPr>
        <w:pStyle w:val="12"/>
        <w:spacing w:line="560" w:lineRule="exact"/>
        <w:ind w:firstLine="643" w:firstLineChars="200"/>
        <w:jc w:val="both"/>
        <w:rPr>
          <w:rStyle w:val="13"/>
          <w:rFonts w:hint="eastAsia" w:ascii="黑体" w:hAnsi="黑体" w:eastAsia="黑体" w:cs="黑体"/>
          <w:b/>
          <w:bCs/>
          <w:color w:val="000000"/>
          <w:kern w:val="2"/>
          <w:sz w:val="32"/>
          <w:szCs w:val="32"/>
          <w:lang w:val="en-US" w:eastAsia="zh-CN" w:bidi="ar-SA"/>
        </w:rPr>
      </w:pPr>
      <w:bookmarkStart w:id="22" w:name="bookmark79"/>
      <w:bookmarkStart w:id="23" w:name="bookmark81"/>
      <w:bookmarkStart w:id="24" w:name="bookmark80"/>
      <w:r>
        <w:rPr>
          <w:rStyle w:val="13"/>
          <w:rFonts w:hint="eastAsia" w:ascii="黑体" w:hAnsi="黑体" w:eastAsia="黑体" w:cs="黑体"/>
          <w:b/>
          <w:bCs/>
          <w:color w:val="000000"/>
          <w:kern w:val="2"/>
          <w:sz w:val="32"/>
          <w:szCs w:val="32"/>
          <w:lang w:val="en-US" w:eastAsia="zh-CN" w:bidi="ar-SA"/>
        </w:rPr>
        <w:t>六、质量</w:t>
      </w:r>
      <w:bookmarkEnd w:id="22"/>
      <w:bookmarkEnd w:id="23"/>
      <w:bookmarkEnd w:id="24"/>
      <w:r>
        <w:rPr>
          <w:rStyle w:val="13"/>
          <w:rFonts w:hint="eastAsia" w:ascii="黑体" w:hAnsi="黑体" w:eastAsia="黑体" w:cs="黑体"/>
          <w:b/>
          <w:bCs/>
          <w:color w:val="000000"/>
          <w:kern w:val="2"/>
          <w:sz w:val="32"/>
          <w:szCs w:val="32"/>
          <w:lang w:val="en-US" w:eastAsia="zh-CN" w:bidi="ar-SA"/>
        </w:rPr>
        <w:t>控制</w:t>
      </w:r>
    </w:p>
    <w:p>
      <w:pPr>
        <w:pStyle w:val="12"/>
        <w:spacing w:line="560" w:lineRule="exact"/>
        <w:ind w:left="0" w:leftChars="0" w:firstLine="640" w:firstLineChars="200"/>
        <w:jc w:val="both"/>
        <w:rPr>
          <w:rStyle w:val="13"/>
          <w:rFonts w:hint="eastAsia" w:ascii="仿宋_GB2312" w:hAnsi="仿宋" w:eastAsia="仿宋_GB2312" w:cstheme="minorBidi"/>
          <w:color w:val="000000"/>
          <w:kern w:val="2"/>
          <w:sz w:val="32"/>
          <w:szCs w:val="32"/>
          <w:lang w:val="en-US" w:eastAsia="zh-CN" w:bidi="ar-SA"/>
        </w:rPr>
      </w:pPr>
      <w:bookmarkStart w:id="25" w:name="bookmark82"/>
      <w:bookmarkEnd w:id="25"/>
      <w:r>
        <w:rPr>
          <w:rStyle w:val="13"/>
          <w:rFonts w:hint="eastAsia" w:ascii="仿宋_GB2312" w:hAnsi="仿宋" w:eastAsia="仿宋_GB2312" w:cstheme="minorBidi"/>
          <w:color w:val="000000"/>
          <w:kern w:val="2"/>
          <w:sz w:val="32"/>
          <w:szCs w:val="32"/>
          <w:lang w:val="en-US" w:eastAsia="zh-CN" w:bidi="ar-SA"/>
        </w:rPr>
        <w:t>（一）各计划生育服务机构加强对PAC门诊工作的规范管理，定期完成自查工作和统计分析</w:t>
      </w:r>
      <w:bookmarkStart w:id="26" w:name="bookmark83"/>
      <w:bookmarkEnd w:id="26"/>
      <w:r>
        <w:rPr>
          <w:rStyle w:val="13"/>
          <w:rFonts w:hint="eastAsia" w:ascii="仿宋_GB2312" w:hAnsi="仿宋" w:eastAsia="仿宋_GB2312" w:cstheme="minorBidi"/>
          <w:color w:val="000000"/>
          <w:kern w:val="2"/>
          <w:sz w:val="32"/>
          <w:szCs w:val="32"/>
          <w:lang w:val="en-US" w:eastAsia="zh-CN" w:bidi="ar-SA"/>
        </w:rPr>
        <w:t>。</w:t>
      </w:r>
    </w:p>
    <w:p>
      <w:pPr>
        <w:pStyle w:val="12"/>
        <w:spacing w:line="560" w:lineRule="exact"/>
        <w:ind w:left="0" w:leftChars="0" w:firstLine="640"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（二）徐汇区妇幼保健所负责全区开展PAC服务计划生育服务机构</w:t>
      </w:r>
      <w:bookmarkStart w:id="27" w:name="bookmark86"/>
      <w:bookmarkStart w:id="28" w:name="bookmark84"/>
      <w:bookmarkStart w:id="29" w:name="bookmark85"/>
      <w:r>
        <w:rPr>
          <w:rStyle w:val="13"/>
          <w:rFonts w:hint="eastAsia" w:ascii="仿宋_GB2312" w:hAnsi="仿宋" w:eastAsia="仿宋_GB2312" w:cstheme="minorBidi"/>
          <w:color w:val="000000"/>
          <w:kern w:val="2"/>
          <w:sz w:val="32"/>
          <w:szCs w:val="32"/>
          <w:lang w:val="en-US" w:eastAsia="zh-CN" w:bidi="ar-SA"/>
        </w:rPr>
        <w:t>的日常管理和督查，定期进行记录表审核、现场监察、现有数据统计分析、收集妇女咨询后的反馈意见等。每半年组织专家开展质控，并纳入徐汇区医疗机构妇幼保健质量考核。（附件6）</w:t>
      </w:r>
    </w:p>
    <w:p>
      <w:pPr>
        <w:pStyle w:val="12"/>
        <w:spacing w:line="560" w:lineRule="exact"/>
        <w:ind w:left="0" w:leftChars="0" w:firstLine="640" w:firstLineChars="200"/>
        <w:jc w:val="both"/>
        <w:rPr>
          <w:rStyle w:val="13"/>
          <w:rFonts w:hint="eastAsia" w:ascii="仿宋_GB2312" w:hAnsi="仿宋" w:eastAsia="仿宋_GB2312" w:cstheme="minorBidi"/>
          <w:b w:val="0"/>
          <w:bCs w:val="0"/>
          <w:color w:val="000000"/>
          <w:kern w:val="2"/>
          <w:sz w:val="32"/>
          <w:szCs w:val="32"/>
          <w:lang w:val="en-US" w:eastAsia="zh-CN" w:bidi="ar-SA"/>
        </w:rPr>
      </w:pPr>
      <w:r>
        <w:rPr>
          <w:rStyle w:val="13"/>
          <w:rFonts w:hint="eastAsia" w:ascii="仿宋_GB2312" w:hAnsi="仿宋" w:eastAsia="仿宋_GB2312" w:cstheme="minorBidi"/>
          <w:b w:val="0"/>
          <w:bCs w:val="0"/>
          <w:color w:val="000000"/>
          <w:kern w:val="2"/>
          <w:sz w:val="32"/>
          <w:szCs w:val="32"/>
          <w:lang w:val="en-US" w:eastAsia="zh-CN" w:bidi="ar-SA"/>
        </w:rPr>
        <w:t>如上级有新的规范文件，以新的规范文件为准。</w:t>
      </w:r>
    </w:p>
    <w:p>
      <w:pPr>
        <w:pStyle w:val="12"/>
        <w:spacing w:line="560" w:lineRule="exact"/>
        <w:ind w:left="0" w:leftChars="0" w:firstLine="640" w:firstLineChars="200"/>
        <w:jc w:val="both"/>
        <w:rPr>
          <w:rStyle w:val="13"/>
          <w:rFonts w:hint="eastAsia" w:ascii="仿宋_GB2312" w:hAnsi="仿宋" w:eastAsia="仿宋_GB2312" w:cstheme="minorBidi"/>
          <w:color w:val="000000"/>
          <w:kern w:val="2"/>
          <w:sz w:val="32"/>
          <w:szCs w:val="32"/>
          <w:lang w:val="en-US" w:eastAsia="zh-CN" w:bidi="ar-SA"/>
        </w:rPr>
      </w:pPr>
    </w:p>
    <w:bookmarkEnd w:id="27"/>
    <w:bookmarkEnd w:id="28"/>
    <w:bookmarkEnd w:id="29"/>
    <w:p>
      <w:pPr>
        <w:pStyle w:val="12"/>
        <w:spacing w:line="560" w:lineRule="exact"/>
        <w:ind w:left="0" w:leftChars="0" w:firstLine="0" w:firstLineChars="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0" w:firstLineChars="0"/>
        <w:jc w:val="both"/>
        <w:rPr>
          <w:rStyle w:val="13"/>
          <w:rFonts w:hint="eastAsia" w:ascii="仿宋_GB2312" w:hAnsi="仿宋" w:eastAsia="仿宋_GB2312" w:cstheme="minorBidi"/>
          <w:b/>
          <w:bCs/>
          <w:color w:val="000000"/>
          <w:kern w:val="2"/>
          <w:sz w:val="32"/>
          <w:szCs w:val="32"/>
          <w:lang w:val="en-US" w:eastAsia="zh-CN" w:bidi="ar-SA"/>
        </w:rPr>
      </w:pPr>
    </w:p>
    <w:p>
      <w:pPr>
        <w:pStyle w:val="12"/>
        <w:spacing w:line="560" w:lineRule="exact"/>
        <w:ind w:left="0" w:leftChars="0" w:firstLine="643" w:firstLineChars="2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b/>
          <w:bCs/>
          <w:color w:val="000000"/>
          <w:kern w:val="2"/>
          <w:sz w:val="32"/>
          <w:szCs w:val="32"/>
          <w:lang w:val="en-US" w:eastAsia="zh-CN" w:bidi="ar-SA"/>
        </w:rPr>
        <w:t>附件</w:t>
      </w:r>
      <w:r>
        <w:rPr>
          <w:rStyle w:val="13"/>
          <w:rFonts w:hint="eastAsia" w:ascii="仿宋_GB2312" w:hAnsi="仿宋" w:eastAsia="仿宋_GB2312" w:cstheme="minorBidi"/>
          <w:b w:val="0"/>
          <w:bCs w:val="0"/>
          <w:color w:val="000000"/>
          <w:kern w:val="2"/>
          <w:sz w:val="32"/>
          <w:szCs w:val="32"/>
          <w:lang w:val="en-US" w:eastAsia="zh-CN" w:bidi="ar-SA"/>
        </w:rPr>
        <w:t>1.PAC</w:t>
      </w:r>
      <w:r>
        <w:rPr>
          <w:rStyle w:val="13"/>
          <w:rFonts w:hint="eastAsia" w:ascii="仿宋_GB2312" w:hAnsi="仿宋" w:eastAsia="仿宋_GB2312" w:cstheme="minorBidi"/>
          <w:color w:val="000000"/>
          <w:kern w:val="2"/>
          <w:sz w:val="32"/>
          <w:szCs w:val="32"/>
          <w:lang w:val="en-US" w:eastAsia="zh-CN" w:bidi="ar-SA"/>
        </w:rPr>
        <w:t>服务流程</w:t>
      </w:r>
      <w:bookmarkStart w:id="30" w:name="bookmark88"/>
      <w:bookmarkEnd w:id="30"/>
    </w:p>
    <w:p>
      <w:pPr>
        <w:pStyle w:val="12"/>
        <w:spacing w:line="560" w:lineRule="exact"/>
        <w:ind w:left="0" w:leftChars="0" w:firstLine="1280" w:firstLineChars="4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2.人工流产后计划生育服务--术前咨询记录表</w:t>
      </w:r>
    </w:p>
    <w:p>
      <w:pPr>
        <w:pStyle w:val="12"/>
        <w:spacing w:line="560" w:lineRule="exact"/>
        <w:ind w:left="0" w:leftChars="0" w:firstLine="1280" w:firstLineChars="4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3.</w:t>
      </w:r>
      <w:bookmarkStart w:id="31" w:name="bookmark89"/>
      <w:bookmarkEnd w:id="31"/>
      <w:r>
        <w:rPr>
          <w:rStyle w:val="13"/>
          <w:rFonts w:hint="eastAsia" w:ascii="仿宋_GB2312" w:hAnsi="仿宋" w:eastAsia="仿宋_GB2312" w:cstheme="minorBidi"/>
          <w:color w:val="000000"/>
          <w:kern w:val="2"/>
          <w:sz w:val="32"/>
          <w:szCs w:val="32"/>
          <w:lang w:val="en-US" w:eastAsia="zh-CN" w:bidi="ar-SA"/>
        </w:rPr>
        <w:t>人工流产后计划生育服务知情同意书</w:t>
      </w:r>
    </w:p>
    <w:p>
      <w:pPr>
        <w:pStyle w:val="12"/>
        <w:spacing w:line="560" w:lineRule="exact"/>
        <w:ind w:left="1597" w:leftChars="608" w:hanging="320" w:hangingChars="1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4.</w:t>
      </w:r>
      <w:bookmarkStart w:id="32" w:name="bookmark90"/>
      <w:bookmarkEnd w:id="32"/>
      <w:r>
        <w:rPr>
          <w:rStyle w:val="13"/>
          <w:rFonts w:hint="eastAsia" w:ascii="仿宋_GB2312" w:hAnsi="仿宋" w:eastAsia="仿宋_GB2312" w:cstheme="minorBidi"/>
          <w:color w:val="000000"/>
          <w:kern w:val="2"/>
          <w:sz w:val="32"/>
          <w:szCs w:val="32"/>
          <w:lang w:val="en-US" w:eastAsia="zh-CN" w:bidi="ar-SA"/>
        </w:rPr>
        <w:t>人工流产后计划生育服务--首次（1个月）随访登记表</w:t>
      </w:r>
    </w:p>
    <w:p>
      <w:pPr>
        <w:pStyle w:val="12"/>
        <w:spacing w:line="560" w:lineRule="exact"/>
        <w:ind w:left="1597" w:leftChars="608" w:hanging="320" w:hangingChars="100"/>
        <w:jc w:val="both"/>
        <w:rPr>
          <w:rStyle w:val="13"/>
          <w:rFonts w:hint="default"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5.</w:t>
      </w:r>
      <w:bookmarkStart w:id="33" w:name="bookmark91"/>
      <w:bookmarkEnd w:id="33"/>
      <w:bookmarkStart w:id="34" w:name="bookmark92"/>
      <w:bookmarkEnd w:id="34"/>
      <w:r>
        <w:rPr>
          <w:rStyle w:val="13"/>
          <w:rFonts w:hint="eastAsia" w:ascii="仿宋_GB2312" w:hAnsi="仿宋" w:eastAsia="仿宋_GB2312" w:cstheme="minorBidi"/>
          <w:color w:val="000000"/>
          <w:kern w:val="2"/>
          <w:sz w:val="32"/>
          <w:szCs w:val="32"/>
          <w:lang w:val="en-US" w:eastAsia="zh-CN" w:bidi="ar-SA"/>
        </w:rPr>
        <w:t>人工流产后计划生育服务--（3个月、6个月、12个月）随访记录表</w:t>
      </w:r>
    </w:p>
    <w:p>
      <w:pPr>
        <w:pStyle w:val="12"/>
        <w:spacing w:line="560" w:lineRule="exact"/>
        <w:ind w:left="0" w:leftChars="0" w:firstLine="1280" w:firstLineChars="400"/>
        <w:jc w:val="both"/>
        <w:rPr>
          <w:rStyle w:val="13"/>
          <w:rFonts w:hint="eastAsia" w:ascii="仿宋_GB2312" w:hAnsi="仿宋" w:eastAsia="仿宋_GB2312" w:cstheme="minorBidi"/>
          <w:color w:val="000000"/>
          <w:kern w:val="2"/>
          <w:sz w:val="32"/>
          <w:szCs w:val="32"/>
          <w:lang w:val="en-US" w:eastAsia="zh-CN" w:bidi="ar-SA"/>
        </w:rPr>
      </w:pPr>
      <w:r>
        <w:rPr>
          <w:rStyle w:val="13"/>
          <w:rFonts w:hint="eastAsia" w:ascii="仿宋_GB2312" w:hAnsi="仿宋" w:eastAsia="仿宋_GB2312" w:cstheme="minorBidi"/>
          <w:color w:val="000000"/>
          <w:kern w:val="2"/>
          <w:sz w:val="32"/>
          <w:szCs w:val="32"/>
          <w:lang w:val="en-US" w:eastAsia="zh-CN" w:bidi="ar-SA"/>
        </w:rPr>
        <w:t>6.PAC服务考核表</w:t>
      </w: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ind w:firstLine="140" w:firstLineChars="50"/>
        <w:rPr>
          <w:rFonts w:ascii="宋体" w:hAnsi="宋体"/>
          <w:sz w:val="28"/>
          <w:szCs w:val="28"/>
        </w:rPr>
      </w:pPr>
      <w:r>
        <w:rPr>
          <w:rFonts w:hint="eastAsia" w:ascii="仿宋_GB2312" w:hAnsi="仿宋_GB2312" w:eastAsia="仿宋_GB2312" w:cs="仿宋_GB2312"/>
          <w:sz w:val="28"/>
          <w:szCs w:val="28"/>
        </w:rPr>
        <w:pict>
          <v:line id="直接连接符 2" o:spid="_x0000_s1035" o:spt="20" style="position:absolute;left:0pt;margin-left:-9pt;margin-top:0.8pt;height:0pt;width:443.2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">
            <v:path arrowok="t"/>
            <v:fill focussize="0,0"/>
            <v:stroke/>
            <v:imagedata o:title=""/>
            <o:lock v:ext="edit"/>
          </v:line>
        </w:pict>
      </w:r>
      <w:r>
        <w:rPr>
          <w:rFonts w:hint="eastAsia" w:ascii="仿宋_GB2312" w:hAnsi="仿宋_GB2312" w:eastAsia="仿宋_GB2312" w:cs="仿宋_GB2312"/>
          <w:sz w:val="28"/>
          <w:szCs w:val="28"/>
        </w:rPr>
        <w:t>徐汇区卫生健康委办公室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日印发</w:t>
      </w:r>
      <w:r>
        <w:rPr>
          <w:rFonts w:hint="eastAsia" w:eastAsia="仿宋_GB2312"/>
          <w:sz w:val="28"/>
          <w:szCs w:val="28"/>
        </w:rPr>
        <w:t xml:space="preserve"> </w:t>
      </w:r>
    </w:p>
    <w:p>
      <w:pPr>
        <w:wordWrap w:val="0"/>
        <w:spacing w:line="540" w:lineRule="exact"/>
        <w:ind w:firstLine="420" w:firstLineChars="200"/>
        <w:jc w:val="center"/>
        <w:rPr>
          <w:rFonts w:hint="eastAsia" w:ascii="仿宋_GB2312" w:hAnsi="仿宋_GB2312" w:eastAsia="仿宋_GB2312" w:cs="仿宋_GB2312"/>
          <w:bCs/>
          <w:sz w:val="28"/>
          <w:szCs w:val="28"/>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ascii="Calibri" w:hAnsi="Calibri" w:cs="Calibri"/>
          <w:szCs w:val="21"/>
        </w:rPr>
        <w:pict>
          <v:line id="直接连接符 1" o:spid="_x0000_s1036" o:spt="20" style="position:absolute;left:0pt;flip:y;margin-left:-9pt;margin-top:2.7pt;height:0pt;width:443.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">
            <v:path arrowok="t"/>
            <v:fill focussize="0,0"/>
            <v:stroke/>
            <v:imagedata o:title=""/>
            <o:lock v:ext="edit"/>
          </v:line>
        </w:pict>
      </w:r>
      <w:r>
        <w:rPr>
          <w:rFonts w:hint="eastAsia" w:eastAsia="仿宋_GB2312"/>
          <w:sz w:val="28"/>
          <w:szCs w:val="28"/>
          <w:lang w:val="en-US" w:eastAsia="zh-CN"/>
        </w:rPr>
        <w:t xml:space="preserve">                                   </w:t>
      </w:r>
      <w:r>
        <w:rPr>
          <w:rFonts w:hint="eastAsia" w:ascii="仿宋_GB2312" w:hAnsi="仿宋_GB2312" w:eastAsia="仿宋_GB2312" w:cs="仿宋_GB2312"/>
          <w:sz w:val="28"/>
          <w:szCs w:val="28"/>
        </w:rPr>
        <w:t>（共印</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份）</w:t>
      </w:r>
    </w:p>
    <w:p>
      <w:pPr>
        <w:widowControl/>
        <w:adjustRightInd w:val="0"/>
        <w:snapToGrid w:val="0"/>
        <w:spacing w:line="500" w:lineRule="exact"/>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附件1</w:t>
      </w:r>
    </w:p>
    <w:p>
      <w:pPr>
        <w:widowControl/>
        <w:adjustRightInd w:val="0"/>
        <w:snapToGrid w:val="0"/>
        <w:spacing w:line="500" w:lineRule="exact"/>
        <w:jc w:val="center"/>
        <w:rPr>
          <w:rFonts w:hint="eastAsia" w:ascii="黑体" w:hAnsi="黑体" w:eastAsia="黑体" w:cs="黑体"/>
          <w:b/>
          <w:bCs/>
          <w:sz w:val="32"/>
          <w:szCs w:val="32"/>
          <w:lang w:eastAsia="zh-CN"/>
        </w:rPr>
      </w:pPr>
      <w:r>
        <w:rPr>
          <w:rStyle w:val="13"/>
          <w:rFonts w:hint="eastAsia" w:ascii="仿宋_GB2312" w:hAnsi="仿宋" w:eastAsia="仿宋_GB2312" w:cstheme="minorBidi"/>
          <w:b/>
          <w:bCs/>
          <w:color w:val="000000"/>
          <w:kern w:val="2"/>
          <w:sz w:val="32"/>
          <w:szCs w:val="32"/>
          <w:lang w:val="en-US" w:eastAsia="zh-CN" w:bidi="ar-SA"/>
        </w:rPr>
        <w:t>PAC服务流程</w:t>
      </w: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adjustRightInd w:val="0"/>
        <w:snapToGrid w:val="0"/>
        <w:spacing w:line="500" w:lineRule="exact"/>
        <w:ind w:firstLine="700" w:firstLineChars="250"/>
        <w:rPr>
          <w:rFonts w:ascii="仿宋" w:hAnsi="仿宋" w:eastAsia="仿宋" w:cs="宋体"/>
          <w:bCs/>
          <w:sz w:val="28"/>
          <w:szCs w:val="28"/>
          <w:lang w:eastAsia="zh-CN"/>
        </w:rPr>
      </w:pPr>
      <w:r>
        <w:rPr>
          <w:rFonts w:hint="eastAsia" w:ascii="仿宋" w:hAnsi="仿宋" w:eastAsia="仿宋" w:cs="宋体"/>
          <w:bCs/>
          <w:sz w:val="28"/>
          <w:szCs w:val="28"/>
          <w:lang w:eastAsia="zh-CN" w:bidi="ar-SA"/>
        </w:rPr>
        <w:drawing>
          <wp:anchor distT="0" distB="0" distL="114300" distR="114300" simplePos="0" relativeHeight="251660288" behindDoc="0" locked="0" layoutInCell="1" allowOverlap="1">
            <wp:simplePos x="0" y="0"/>
            <wp:positionH relativeFrom="column">
              <wp:posOffset>163195</wp:posOffset>
            </wp:positionH>
            <wp:positionV relativeFrom="paragraph">
              <wp:posOffset>264160</wp:posOffset>
            </wp:positionV>
            <wp:extent cx="5530850" cy="4676140"/>
            <wp:effectExtent l="0" t="0" r="12700" b="10160"/>
            <wp:wrapSquare wrapText="bothSides"/>
            <wp:docPr id="18" name="图片 3" descr="C:\Users\Lenovo\AppData\Local\Temp\WeChat Files\692715dd501acb2a22da3ac21678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C:\Users\Lenovo\AppData\Local\Temp\WeChat Files\692715dd501acb2a22da3ac21678046.png"/>
                    <pic:cNvPicPr>
                      <a:picLocks noChangeAspect="1" noChangeArrowheads="1"/>
                    </pic:cNvPicPr>
                  </pic:nvPicPr>
                  <pic:blipFill>
                    <a:blip r:embed="rId10" cstate="print"/>
                    <a:srcRect/>
                    <a:stretch>
                      <a:fillRect/>
                    </a:stretch>
                  </pic:blipFill>
                  <pic:spPr>
                    <a:xfrm>
                      <a:off x="0" y="0"/>
                      <a:ext cx="5530850" cy="4676140"/>
                    </a:xfrm>
                    <a:prstGeom prst="rect">
                      <a:avLst/>
                    </a:prstGeom>
                    <a:noFill/>
                    <a:ln w="9525">
                      <a:noFill/>
                      <a:miter lim="800000"/>
                      <a:headEnd/>
                      <a:tailEnd/>
                    </a:ln>
                  </pic:spPr>
                </pic:pic>
              </a:graphicData>
            </a:graphic>
          </wp:anchor>
        </w:drawing>
      </w: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adjustRightInd w:val="0"/>
        <w:snapToGrid w:val="0"/>
        <w:spacing w:line="500" w:lineRule="exact"/>
        <w:ind w:firstLine="700" w:firstLineChars="250"/>
        <w:rPr>
          <w:rFonts w:ascii="仿宋" w:hAnsi="仿宋" w:eastAsia="仿宋" w:cs="宋体"/>
          <w:bCs/>
          <w:sz w:val="28"/>
          <w:szCs w:val="28"/>
          <w:lang w:eastAsia="zh-CN"/>
        </w:rPr>
      </w:pPr>
    </w:p>
    <w:p>
      <w:pPr>
        <w:widowControl/>
        <w:rPr>
          <w:rFonts w:hint="eastAsia" w:ascii="楷体" w:hAnsi="楷体" w:eastAsia="楷体" w:cs="楷体"/>
          <w:sz w:val="32"/>
          <w:szCs w:val="32"/>
          <w:lang w:eastAsia="zh-CN"/>
        </w:rPr>
      </w:pPr>
    </w:p>
    <w:p>
      <w:pPr>
        <w:widowControl/>
        <w:rPr>
          <w:rFonts w:hint="default" w:ascii="楷体" w:hAnsi="楷体" w:eastAsia="楷体" w:cs="楷体"/>
          <w:sz w:val="32"/>
          <w:szCs w:val="32"/>
          <w:lang w:val="en-US" w:eastAsia="zh-CN"/>
        </w:rPr>
      </w:pPr>
      <w:r>
        <w:rPr>
          <w:rFonts w:hint="eastAsia" w:ascii="方正仿宋_GB2312" w:hAnsi="方正仿宋_GB2312" w:eastAsia="方正仿宋_GB2312" w:cs="方正仿宋_GB2312"/>
          <w:b/>
          <w:bCs/>
          <w:sz w:val="32"/>
          <w:szCs w:val="32"/>
          <w:lang w:eastAsia="zh-CN"/>
        </w:rPr>
        <w:t xml:space="preserve">附件2 </w:t>
      </w:r>
      <w:r>
        <w:rPr>
          <w:rFonts w:hint="eastAsia" w:ascii="楷体" w:hAnsi="楷体" w:eastAsia="楷体" w:cs="楷体"/>
          <w:sz w:val="32"/>
          <w:szCs w:val="32"/>
          <w:lang w:eastAsia="zh-CN"/>
        </w:rPr>
        <w:t xml:space="preserve"> </w:t>
      </w:r>
    </w:p>
    <w:p>
      <w:pPr>
        <w:widowControl/>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人工流产后计划生育服务（参考样式）</w:t>
      </w:r>
    </w:p>
    <w:p>
      <w:pPr>
        <w:spacing w:line="360" w:lineRule="auto"/>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——术前咨询记录表</w:t>
      </w:r>
    </w:p>
    <w:p>
      <w:pPr>
        <w:keepNext w:val="0"/>
        <w:keepLines w:val="0"/>
        <w:pageBreakBefore w:val="0"/>
        <w:kinsoku/>
        <w:wordWrap/>
        <w:overflowPunct/>
        <w:topLinePunct w:val="0"/>
        <w:autoSpaceDE/>
        <w:autoSpaceDN/>
        <w:bidi w:val="0"/>
        <w:adjustRightInd w:val="0"/>
        <w:snapToGrid w:val="0"/>
        <w:spacing w:before="120" w:beforeLines="50" w:line="312" w:lineRule="auto"/>
        <w:ind w:left="239" w:leftChars="114" w:firstLine="300" w:firstLineChars="125"/>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门诊号/病历号</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咨询日期</w:t>
      </w:r>
      <w:r>
        <w:rPr>
          <w:rFonts w:hint="eastAsia" w:ascii="仿宋_GB2312" w:hAnsi="仿宋_GB2312" w:eastAsia="仿宋_GB2312" w:cs="仿宋_GB2312"/>
          <w:sz w:val="24"/>
          <w:szCs w:val="24"/>
          <w:u w:val="single"/>
          <w:lang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left="239" w:leftChars="114" w:firstLine="300" w:firstLineChars="125"/>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年龄</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联系电话</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 xml:space="preserve">联系人电话 </w:t>
      </w:r>
      <w:r>
        <w:rPr>
          <w:rFonts w:hint="eastAsia" w:ascii="仿宋_GB2312" w:hAnsi="仿宋_GB2312" w:eastAsia="仿宋_GB2312" w:cs="仿宋_GB2312"/>
          <w:sz w:val="24"/>
          <w:szCs w:val="24"/>
          <w:u w:val="single"/>
          <w:lang w:eastAsia="zh-CN"/>
        </w:rPr>
        <w:t xml:space="preserve">               </w:t>
      </w:r>
    </w:p>
    <w:p>
      <w:pPr>
        <w:keepNext w:val="0"/>
        <w:keepLines w:val="0"/>
        <w:pageBreakBefore w:val="0"/>
        <w:widowControl/>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4"/>
          <w:szCs w:val="24"/>
          <w:lang w:eastAsia="zh-CN"/>
        </w:rPr>
        <w:t>末次月经时间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日      孕</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次    产</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次     </w:t>
      </w:r>
      <w:r>
        <w:rPr>
          <w:rFonts w:hint="eastAsia" w:ascii="仿宋_GB2312" w:hAnsi="仿宋_GB2312" w:eastAsia="仿宋_GB2312" w:cs="仿宋_GB2312"/>
          <w:sz w:val="28"/>
          <w:szCs w:val="28"/>
          <w:lang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left="2639" w:leftChars="228" w:hanging="2160" w:hangingChars="9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目前使用的避孕方法□ 1避孕套  2安全期  3体外排精  4复方短效口服避孕药</w:t>
      </w:r>
    </w:p>
    <w:p>
      <w:pPr>
        <w:keepNext w:val="0"/>
        <w:keepLines w:val="0"/>
        <w:pageBreakBefore w:val="0"/>
        <w:kinsoku/>
        <w:wordWrap/>
        <w:overflowPunct/>
        <w:topLinePunct w:val="0"/>
        <w:autoSpaceDE/>
        <w:autoSpaceDN/>
        <w:bidi w:val="0"/>
        <w:adjustRightInd w:val="0"/>
        <w:snapToGrid w:val="0"/>
        <w:spacing w:before="120" w:beforeLines="50" w:line="312" w:lineRule="auto"/>
        <w:ind w:firstLine="2400" w:firstLineChars="10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 xml:space="preserve">外用避孕药（栓剂、膜剂、凝胶）、6长效避孕针 </w:t>
      </w:r>
      <w:r>
        <w:rPr>
          <w:rFonts w:hint="eastAsia" w:ascii="仿宋_GB2312" w:hAnsi="仿宋_GB2312" w:eastAsia="仿宋_GB2312" w:cs="仿宋_GB2312"/>
          <w:sz w:val="24"/>
          <w:szCs w:val="24"/>
          <w:lang w:val="en-US" w:eastAsia="zh-CN"/>
        </w:rPr>
        <w:t>7皮下埋植剂</w:t>
      </w:r>
      <w:r>
        <w:rPr>
          <w:rFonts w:hint="eastAsia" w:ascii="仿宋_GB2312" w:hAnsi="仿宋_GB2312" w:eastAsia="仿宋_GB2312" w:cs="仿宋_GB2312"/>
          <w:sz w:val="24"/>
          <w:szCs w:val="24"/>
          <w:lang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firstLine="2160" w:firstLineChars="9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8宫内节育器  9未避孕  10其他，请详述  </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本次非意愿妊娠原因□  1未避孕    2避孕失败   3说不清 </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是否存在人工流产高危风险□  1否   </w:t>
      </w:r>
    </w:p>
    <w:p>
      <w:pPr>
        <w:keepNext w:val="0"/>
        <w:keepLines w:val="0"/>
        <w:pageBreakBefore w:val="0"/>
        <w:kinsoku/>
        <w:wordWrap/>
        <w:overflowPunct/>
        <w:topLinePunct w:val="0"/>
        <w:autoSpaceDE/>
        <w:autoSpaceDN/>
        <w:bidi w:val="0"/>
        <w:adjustRightInd w:val="0"/>
        <w:snapToGrid w:val="0"/>
        <w:spacing w:before="120" w:beforeLines="50" w:line="312" w:lineRule="auto"/>
        <w:ind w:firstLine="3840" w:firstLineChars="16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2是，有</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项</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是否存在重复流产的高危风险□  1否   </w:t>
      </w:r>
    </w:p>
    <w:p>
      <w:pPr>
        <w:keepNext w:val="0"/>
        <w:keepLines w:val="0"/>
        <w:pageBreakBefore w:val="0"/>
        <w:kinsoku/>
        <w:wordWrap/>
        <w:overflowPunct/>
        <w:topLinePunct w:val="0"/>
        <w:autoSpaceDE/>
        <w:autoSpaceDN/>
        <w:bidi w:val="0"/>
        <w:adjustRightInd w:val="0"/>
        <w:snapToGrid w:val="0"/>
        <w:spacing w:before="120" w:beforeLines="50" w:line="312" w:lineRule="auto"/>
        <w:ind w:firstLine="3840" w:firstLineChars="16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2是，有</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项</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拟选择的流产方式□  1手术  2药物   流产日期</w:t>
      </w:r>
      <w:r>
        <w:rPr>
          <w:rFonts w:hint="eastAsia" w:ascii="仿宋_GB2312" w:hAnsi="仿宋_GB2312" w:eastAsia="仿宋_GB2312" w:cs="仿宋_GB2312"/>
          <w:sz w:val="24"/>
          <w:szCs w:val="24"/>
          <w:u w:val="single"/>
          <w:lang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近期生育计划□  1半年内  2 约7-12个月  3 一年后  4 两年后及以上 </w:t>
      </w:r>
    </w:p>
    <w:p>
      <w:pPr>
        <w:keepNext w:val="0"/>
        <w:keepLines w:val="0"/>
        <w:pageBreakBefore w:val="0"/>
        <w:kinsoku/>
        <w:wordWrap/>
        <w:overflowPunct/>
        <w:topLinePunct w:val="0"/>
        <w:autoSpaceDE/>
        <w:autoSpaceDN/>
        <w:bidi w:val="0"/>
        <w:adjustRightInd w:val="0"/>
        <w:snapToGrid w:val="0"/>
        <w:spacing w:before="120" w:beforeLines="50" w:line="312" w:lineRule="auto"/>
        <w:ind w:firstLine="1680" w:firstLineChars="7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5暂无打算  6说不清</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人工流产后拟选择避孕方法□ 1宫内节育器  2皮下埋植剂  3长效避孕针</w:t>
      </w:r>
      <w:r>
        <w:rPr>
          <w:rFonts w:hint="eastAsia" w:ascii="仿宋_GB2312" w:hAnsi="仿宋_GB2312" w:eastAsia="仿宋_GB2312" w:cs="仿宋_GB2312"/>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firstLine="3120" w:firstLineChars="1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4复方短效口服避孕药  5男用避孕套  6女用避孕套</w:t>
      </w:r>
    </w:p>
    <w:p>
      <w:pPr>
        <w:keepNext w:val="0"/>
        <w:keepLines w:val="0"/>
        <w:pageBreakBefore w:val="0"/>
        <w:kinsoku/>
        <w:wordWrap/>
        <w:overflowPunct/>
        <w:topLinePunct w:val="0"/>
        <w:autoSpaceDE/>
        <w:autoSpaceDN/>
        <w:bidi w:val="0"/>
        <w:adjustRightInd w:val="0"/>
        <w:snapToGrid w:val="0"/>
        <w:spacing w:before="120" w:beforeLines="50" w:line="312" w:lineRule="auto"/>
        <w:ind w:firstLine="3120" w:firstLineChars="1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7外用避孕药（栓剂、膜剂、凝胶）  8女性绝育术  </w:t>
      </w:r>
    </w:p>
    <w:p>
      <w:pPr>
        <w:keepNext w:val="0"/>
        <w:keepLines w:val="0"/>
        <w:pageBreakBefore w:val="0"/>
        <w:kinsoku/>
        <w:wordWrap/>
        <w:overflowPunct/>
        <w:topLinePunct w:val="0"/>
        <w:autoSpaceDE/>
        <w:autoSpaceDN/>
        <w:bidi w:val="0"/>
        <w:adjustRightInd w:val="0"/>
        <w:snapToGrid w:val="0"/>
        <w:spacing w:before="120" w:beforeLines="50" w:line="312" w:lineRule="auto"/>
        <w:ind w:firstLine="3120" w:firstLineChars="1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9男性绝育术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10其他，请详述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11未决定</w:t>
      </w:r>
    </w:p>
    <w:p>
      <w:pPr>
        <w:keepNext w:val="0"/>
        <w:keepLines w:val="0"/>
        <w:pageBreakBefore w:val="0"/>
        <w:widowControl/>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预期使用的时间□   1流产后即时  2流产后2周  3流产后1个月  4其他</w:t>
      </w:r>
      <w:r>
        <w:rPr>
          <w:rFonts w:hint="eastAsia" w:ascii="仿宋_GB2312" w:hAnsi="仿宋_GB2312" w:eastAsia="仿宋_GB2312" w:cs="仿宋_GB2312"/>
          <w:sz w:val="24"/>
          <w:szCs w:val="24"/>
          <w:u w:val="single"/>
          <w:lang w:eastAsia="zh-CN"/>
        </w:rPr>
        <w:t xml:space="preserve">          </w:t>
      </w:r>
    </w:p>
    <w:p>
      <w:pPr>
        <w:keepNext w:val="0"/>
        <w:keepLines w:val="0"/>
        <w:pageBreakBefore w:val="0"/>
        <w:widowControl/>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咨询指导意见</w:t>
      </w:r>
      <w:r>
        <w:rPr>
          <w:rFonts w:hint="eastAsia" w:ascii="仿宋_GB2312" w:hAnsi="仿宋_GB2312" w:eastAsia="仿宋_GB2312" w:cs="仿宋_GB2312"/>
          <w:sz w:val="24"/>
          <w:szCs w:val="24"/>
          <w:u w:val="single"/>
          <w:lang w:eastAsia="zh-CN"/>
        </w:rPr>
        <w:t xml:space="preserve">                                                                 </w:t>
      </w: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u w:val="single"/>
          <w:lang w:eastAsia="zh-CN"/>
        </w:rPr>
      </w:pPr>
    </w:p>
    <w:p>
      <w:pPr>
        <w:keepNext w:val="0"/>
        <w:keepLines w:val="0"/>
        <w:pageBreakBefore w:val="0"/>
        <w:kinsoku/>
        <w:wordWrap/>
        <w:overflowPunct/>
        <w:topLinePunct w:val="0"/>
        <w:autoSpaceDE/>
        <w:autoSpaceDN/>
        <w:bidi w:val="0"/>
        <w:adjustRightInd w:val="0"/>
        <w:snapToGrid w:val="0"/>
        <w:spacing w:before="120" w:beforeLines="50"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医师签名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日期</w:t>
      </w:r>
      <w:r>
        <w:rPr>
          <w:rFonts w:hint="eastAsia" w:ascii="仿宋_GB2312" w:hAnsi="仿宋_GB2312" w:eastAsia="仿宋_GB2312" w:cs="仿宋_GB2312"/>
          <w:sz w:val="24"/>
          <w:szCs w:val="24"/>
          <w:u w:val="single"/>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仿宋" w:hAnsi="仿宋" w:eastAsia="仿宋"/>
          <w:sz w:val="28"/>
          <w:szCs w:val="28"/>
          <w:lang w:eastAsia="zh-CN"/>
        </w:rPr>
      </w:pPr>
      <w:r>
        <w:rPr>
          <w:rFonts w:hint="eastAsia" w:ascii="黑体" w:hAnsi="黑体" w:eastAsia="黑体" w:cs="黑体"/>
          <w:sz w:val="32"/>
          <w:szCs w:val="32"/>
          <w:lang w:eastAsia="zh-CN"/>
        </w:rPr>
        <w:t>附件3</w:t>
      </w:r>
    </w:p>
    <w:p>
      <w:pPr>
        <w:widowControl/>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人工流产后计划生育服务知情同意书</w:t>
      </w:r>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（参考样式）</w:t>
      </w:r>
    </w:p>
    <w:p>
      <w:pPr>
        <w:spacing w:line="480" w:lineRule="auto"/>
        <w:ind w:firstLine="480" w:firstLineChars="200"/>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姓名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年龄</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门诊号/病历号</w:t>
      </w:r>
      <w:r>
        <w:rPr>
          <w:rFonts w:hint="eastAsia" w:ascii="仿宋_GB2312" w:hAnsi="仿宋_GB2312" w:eastAsia="仿宋_GB2312" w:cs="仿宋_GB2312"/>
          <w:sz w:val="24"/>
          <w:szCs w:val="24"/>
          <w:u w:val="single"/>
          <w:lang w:eastAsia="zh-CN"/>
        </w:rPr>
        <w:t xml:space="preserve">           </w:t>
      </w:r>
    </w:p>
    <w:p>
      <w:pPr>
        <w:spacing w:line="460" w:lineRule="exact"/>
        <w:ind w:firstLine="48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医护人员已向我介绍了人工流产存在的风险和不利影响，我知晓并签署了针对此次人工流产术的知情同意书。在此基础上，医护人员又与我对本次人工流产后的避孕方法进行了交流。我理解：</w:t>
      </w:r>
    </w:p>
    <w:p>
      <w:pPr>
        <w:spacing w:line="460" w:lineRule="exact"/>
        <w:ind w:firstLine="48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重复人工流产损害女性健康和生育能力，人工流产次数增多，输卵管阻塞、宫腔粘连、子宫内膜异位症等流产并发症及继发不孕的发生率增高。即使得以怀孕，还会增加自然流产、早产、胎盘异常及低体重儿等不良生育结局的发生风险。</w:t>
      </w:r>
    </w:p>
    <w:p>
      <w:pPr>
        <w:spacing w:line="4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早孕流产后及中孕引产后2周即可恢复排卵，如果不及时避孕，可能在首次月经之前再次妊娠。流产后1年内，特别是6个月内再次妊娠对母体和胎儿存在较大风险，如果再次选择人工流产会对女性身体造成更大损害，重复人工流产的危害最大。为避免人工流产后再次意外妊娠，此次人工流产术后应当立即落实高效避孕措施。</w:t>
      </w:r>
    </w:p>
    <w:p>
      <w:pPr>
        <w:spacing w:line="460" w:lineRule="exact"/>
        <w:ind w:firstLine="48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3.宫内节育器、皮下埋植剂和长效避孕针都属于高效的避孕方法，可长期使用。坚持和正确使用复方短效口服避孕药也可以达到高效的避孕作用。</w:t>
      </w:r>
    </w:p>
    <w:p>
      <w:pPr>
        <w:spacing w:line="4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4.我可以获得免费的避孕药具，并了解如何领取。</w:t>
      </w:r>
    </w:p>
    <w:p>
      <w:pPr>
        <w:spacing w:line="4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5.根据本人的具体情况，我选择的避孕方法是□</w:t>
      </w:r>
    </w:p>
    <w:p>
      <w:pPr>
        <w:spacing w:line="460" w:lineRule="exact"/>
        <w:ind w:left="632" w:leftChars="30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1宫内节育器  2皮下埋植剂  3长效避孕针   4复方短效口服避孕药</w:t>
      </w:r>
      <w:r>
        <w:rPr>
          <w:rFonts w:hint="eastAsia" w:ascii="仿宋_GB2312" w:hAnsi="仿宋_GB2312" w:eastAsia="仿宋_GB2312" w:cs="仿宋_GB2312"/>
          <w:sz w:val="24"/>
          <w:szCs w:val="24"/>
          <w:lang w:val="en-US" w:eastAsia="zh-CN"/>
        </w:rPr>
        <w:t xml:space="preserve"> </w:t>
      </w:r>
    </w:p>
    <w:p>
      <w:pPr>
        <w:spacing w:line="460" w:lineRule="exact"/>
        <w:ind w:left="632" w:leftChars="30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 xml:space="preserve">5男用避孕套   6女用避孕套  7外用避孕药（栓剂、膜剂、凝胶） </w:t>
      </w:r>
    </w:p>
    <w:p>
      <w:pPr>
        <w:spacing w:line="460" w:lineRule="exact"/>
        <w:ind w:left="632" w:leftChars="30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8女性绝育术   9男性绝育术   10其他，请详述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11未决定  </w:t>
      </w:r>
    </w:p>
    <w:p>
      <w:pPr>
        <w:spacing w:line="4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6.在人工流产后的1年内，我愿意定期返诊或接受医护人员的随访，她们会为我提供持续的咨询和医疗服务，以帮助我坚持有效避孕，预防过密的生育间隔（小于2年）或重复人工流产。</w:t>
      </w:r>
    </w:p>
    <w:p>
      <w:pPr>
        <w:spacing w:line="4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医护人员已回答了我提出的相关问题，无论我是否决定或选择何种避孕方法，都不会影响本次流产服务。</w:t>
      </w:r>
    </w:p>
    <w:p>
      <w:pPr>
        <w:spacing w:line="460" w:lineRule="exact"/>
        <w:ind w:firstLine="840" w:firstLineChars="3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服务对象签名 </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日  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spacing w:line="460" w:lineRule="exact"/>
        <w:ind w:firstLine="840" w:firstLineChars="3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lang w:eastAsia="zh-CN"/>
        </w:rPr>
        <w:t>咨询者签名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日  期</w:t>
      </w:r>
      <w:r>
        <w:rPr>
          <w:rFonts w:hint="eastAsia" w:ascii="仿宋_GB2312" w:hAnsi="仿宋_GB2312" w:eastAsia="仿宋_GB2312" w:cs="仿宋_GB2312"/>
          <w:sz w:val="24"/>
          <w:szCs w:val="24"/>
          <w:u w:val="single"/>
          <w:lang w:eastAsia="zh-CN"/>
        </w:rPr>
        <w:t xml:space="preserve">               </w:t>
      </w:r>
    </w:p>
    <w:p>
      <w:pPr>
        <w:widowControl/>
        <w:rPr>
          <w:rFonts w:hint="eastAsia" w:ascii="黑体" w:hAnsi="黑体" w:eastAsia="黑体" w:cs="黑体"/>
          <w:sz w:val="32"/>
          <w:szCs w:val="32"/>
          <w:lang w:eastAsia="zh-CN"/>
        </w:rPr>
      </w:pPr>
      <w:r>
        <w:rPr>
          <w:rFonts w:hint="eastAsia" w:ascii="黑体" w:hAnsi="黑体" w:eastAsia="黑体" w:cs="黑体"/>
          <w:sz w:val="32"/>
          <w:szCs w:val="32"/>
          <w:lang w:eastAsia="zh-CN"/>
        </w:rPr>
        <w:t>附件4</w:t>
      </w:r>
    </w:p>
    <w:p>
      <w:pPr>
        <w:widowControl/>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人工流产后计划生育服务（参考样式）</w:t>
      </w:r>
    </w:p>
    <w:p>
      <w:pPr>
        <w:spacing w:line="360" w:lineRule="auto"/>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——首次（1个月）随访登记表</w:t>
      </w:r>
    </w:p>
    <w:p>
      <w:pPr>
        <w:adjustRightInd w:val="0"/>
        <w:snapToGrid w:val="0"/>
        <w:spacing w:before="120" w:beforeLines="50" w:line="48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门诊号/病历号</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随访日期</w:t>
      </w:r>
      <w:r>
        <w:rPr>
          <w:rFonts w:hint="eastAsia" w:ascii="仿宋_GB2312" w:hAnsi="仿宋_GB2312" w:eastAsia="仿宋_GB2312" w:cs="仿宋_GB2312"/>
          <w:sz w:val="24"/>
          <w:szCs w:val="24"/>
          <w:u w:val="single"/>
          <w:lang w:eastAsia="zh-CN"/>
        </w:rPr>
        <w:t xml:space="preserve">              </w:t>
      </w:r>
    </w:p>
    <w:p>
      <w:pPr>
        <w:spacing w:line="480" w:lineRule="auto"/>
        <w:ind w:firstLine="480" w:firstLineChars="200"/>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随访方式□  1门诊    2电话   3 QQ或微信    4其他，详述</w:t>
      </w:r>
      <w:r>
        <w:rPr>
          <w:rFonts w:hint="eastAsia" w:ascii="仿宋_GB2312" w:hAnsi="仿宋_GB2312" w:eastAsia="仿宋_GB2312" w:cs="仿宋_GB2312"/>
          <w:sz w:val="24"/>
          <w:szCs w:val="24"/>
          <w:u w:val="single"/>
          <w:lang w:eastAsia="zh-CN"/>
        </w:rPr>
        <w:t xml:space="preserve">                   </w:t>
      </w:r>
    </w:p>
    <w:p>
      <w:pPr>
        <w:spacing w:line="48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流产后出血时间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天，出血量与平时月经相比□  1少于  2相似  3多于 4说不清</w:t>
      </w:r>
    </w:p>
    <w:p>
      <w:pPr>
        <w:spacing w:line="480" w:lineRule="auto"/>
        <w:ind w:firstLine="480" w:firstLineChars="200"/>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月经是否恢复□  1是，末次月经日期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日  2否</w:t>
      </w:r>
    </w:p>
    <w:p>
      <w:pPr>
        <w:spacing w:line="48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是否恢复性生活□  1是，流产后</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天   2否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目前采用的避孕方法□  1宫内节育器  2皮下埋植剂  3长效孕针 </w:t>
      </w:r>
    </w:p>
    <w:p>
      <w:pPr>
        <w:keepNext w:val="0"/>
        <w:keepLines w:val="0"/>
        <w:pageBreakBefore w:val="0"/>
        <w:widowControl w:val="0"/>
        <w:kinsoku/>
        <w:wordWrap/>
        <w:overflowPunct/>
        <w:topLinePunct w:val="0"/>
        <w:autoSpaceDE/>
        <w:autoSpaceDN/>
        <w:bidi w:val="0"/>
        <w:adjustRightInd/>
        <w:snapToGrid/>
        <w:spacing w:line="480" w:lineRule="auto"/>
        <w:ind w:firstLine="2640" w:firstLineChars="11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4复方短效口服避孕药  5男用避孕套  6女用避孕套</w:t>
      </w:r>
    </w:p>
    <w:p>
      <w:pPr>
        <w:spacing w:line="480" w:lineRule="auto"/>
        <w:ind w:firstLine="2640" w:firstLineChars="1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 xml:space="preserve">外用避孕药（栓剂、膜剂、凝胶） 8安全期  </w:t>
      </w:r>
    </w:p>
    <w:p>
      <w:pPr>
        <w:spacing w:line="480" w:lineRule="auto"/>
        <w:ind w:firstLine="2640" w:firstLineChars="1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9体外排精 10女性绝育术 11男性绝育术 </w:t>
      </w:r>
    </w:p>
    <w:p>
      <w:pPr>
        <w:spacing w:line="480" w:lineRule="auto"/>
        <w:ind w:firstLine="2400" w:firstLineChars="10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12其他，请详述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13未决定</w:t>
      </w:r>
    </w:p>
    <w:p>
      <w:pPr>
        <w:spacing w:line="480" w:lineRule="auto"/>
        <w:ind w:firstLine="480" w:firstLineChars="200"/>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主要感受</w:t>
      </w:r>
      <w:r>
        <w:rPr>
          <w:rFonts w:hint="eastAsia" w:ascii="仿宋_GB2312" w:hAnsi="仿宋_GB2312" w:eastAsia="仿宋_GB2312" w:cs="仿宋_GB2312"/>
          <w:sz w:val="24"/>
          <w:szCs w:val="24"/>
          <w:u w:val="single"/>
          <w:lang w:eastAsia="zh-CN"/>
        </w:rPr>
        <w:t xml:space="preserve">                                                                    </w:t>
      </w:r>
    </w:p>
    <w:p>
      <w:pPr>
        <w:spacing w:line="480" w:lineRule="auto"/>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u w:val="single"/>
          <w:lang w:eastAsia="zh-CN"/>
        </w:rPr>
        <w:t xml:space="preserve">                                                                     </w:t>
      </w:r>
    </w:p>
    <w:p>
      <w:pPr>
        <w:spacing w:line="480" w:lineRule="auto"/>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是否继续使用□   1是   2否，打算更换□ （</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 xml:space="preserve">以上编码）  </w:t>
      </w:r>
    </w:p>
    <w:p>
      <w:pPr>
        <w:spacing w:line="480" w:lineRule="auto"/>
        <w:ind w:firstLine="2040" w:firstLineChars="8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3否，先停用，暂未考虑好换用什么方法</w:t>
      </w:r>
    </w:p>
    <w:p>
      <w:pPr>
        <w:widowControl/>
        <w:spacing w:line="480" w:lineRule="auto"/>
        <w:ind w:firstLine="480" w:firstLineChars="200"/>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咨询指导意见</w:t>
      </w:r>
      <w:r>
        <w:rPr>
          <w:rFonts w:hint="eastAsia" w:ascii="仿宋_GB2312" w:hAnsi="仿宋_GB2312" w:eastAsia="仿宋_GB2312" w:cs="仿宋_GB2312"/>
          <w:sz w:val="24"/>
          <w:szCs w:val="24"/>
          <w:u w:val="single"/>
          <w:lang w:eastAsia="zh-CN"/>
        </w:rPr>
        <w:t xml:space="preserve">                                                                 </w:t>
      </w:r>
    </w:p>
    <w:p>
      <w:pPr>
        <w:spacing w:line="48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spacing w:line="480" w:lineRule="auto"/>
        <w:rPr>
          <w:rFonts w:hint="eastAsia" w:ascii="仿宋_GB2312" w:hAnsi="仿宋_GB2312" w:eastAsia="仿宋_GB2312" w:cs="仿宋_GB2312"/>
          <w:sz w:val="24"/>
          <w:szCs w:val="24"/>
          <w:lang w:eastAsia="zh-CN"/>
        </w:rPr>
      </w:pPr>
    </w:p>
    <w:p>
      <w:pPr>
        <w:widowControl/>
        <w:adjustRightInd w:val="0"/>
        <w:snapToGrid w:val="0"/>
        <w:spacing w:line="480" w:lineRule="auto"/>
        <w:ind w:firstLine="480" w:firstLineChars="200"/>
        <w:rPr>
          <w:rFonts w:hint="eastAsia" w:ascii="仿宋_GB2312" w:hAnsi="仿宋_GB2312" w:eastAsia="仿宋_GB2312" w:cs="仿宋_GB2312"/>
          <w:sz w:val="24"/>
          <w:szCs w:val="24"/>
          <w:u w:val="single"/>
          <w:lang w:eastAsia="zh-CN"/>
        </w:rPr>
      </w:pPr>
      <w:r>
        <w:rPr>
          <w:rFonts w:hint="eastAsia" w:ascii="仿宋_GB2312" w:hAnsi="仿宋_GB2312" w:eastAsia="仿宋_GB2312" w:cs="仿宋_GB2312"/>
          <w:sz w:val="24"/>
          <w:szCs w:val="24"/>
          <w:lang w:eastAsia="zh-CN"/>
        </w:rPr>
        <w:t>随访者签名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日期</w:t>
      </w:r>
      <w:r>
        <w:rPr>
          <w:rFonts w:hint="eastAsia" w:ascii="仿宋_GB2312" w:hAnsi="仿宋_GB2312" w:eastAsia="仿宋_GB2312" w:cs="仿宋_GB2312"/>
          <w:sz w:val="24"/>
          <w:szCs w:val="24"/>
          <w:u w:val="single"/>
          <w:lang w:eastAsia="zh-CN"/>
        </w:rPr>
        <w:t xml:space="preserve">          </w:t>
      </w:r>
    </w:p>
    <w:p>
      <w:pPr>
        <w:widowControl/>
        <w:adjustRightInd w:val="0"/>
        <w:snapToGrid w:val="0"/>
        <w:spacing w:line="480" w:lineRule="auto"/>
        <w:rPr>
          <w:rFonts w:hint="eastAsia" w:ascii="仿宋_GB2312" w:hAnsi="仿宋_GB2312" w:eastAsia="仿宋_GB2312" w:cs="仿宋_GB2312"/>
          <w:bCs/>
          <w:sz w:val="24"/>
          <w:szCs w:val="24"/>
          <w:lang w:eastAsia="zh-CN"/>
        </w:rPr>
        <w:sectPr>
          <w:footerReference r:id="rId5" w:type="default"/>
          <w:footerReference r:id="rId6" w:type="even"/>
          <w:pgSz w:w="11900" w:h="16840"/>
          <w:pgMar w:top="1814" w:right="1134" w:bottom="1576" w:left="1378" w:header="0" w:footer="6" w:gutter="0"/>
          <w:cols w:space="720" w:num="1"/>
          <w:docGrid w:linePitch="360" w:charSpace="0"/>
        </w:sectPr>
      </w:pPr>
    </w:p>
    <w:p>
      <w:pPr>
        <w:spacing w:line="54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 xml:space="preserve">附件5  </w:t>
      </w:r>
      <w:r>
        <w:rPr>
          <w:rFonts w:hint="eastAsia" w:ascii="仿宋_GB2312" w:hAnsi="仿宋_GB2312" w:eastAsia="仿宋_GB2312" w:cs="仿宋_GB2312"/>
          <w:sz w:val="32"/>
          <w:szCs w:val="32"/>
          <w:lang w:eastAsia="zh-CN"/>
        </w:rPr>
        <w:t xml:space="preserve">             </w:t>
      </w:r>
    </w:p>
    <w:p>
      <w:pPr>
        <w:spacing w:line="540" w:lineRule="exact"/>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人工流产后计划生育服务（参考样式）</w:t>
      </w:r>
    </w:p>
    <w:p>
      <w:pPr>
        <w:spacing w:line="54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（3个月、6个月、12个月）随访记录表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 xml:space="preserve">                    门诊号/病历号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随访方式□  1门诊    2电话   3 QQ或微信    4其他，详述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目前采用的避孕方法□  1宫内节育器  2皮下埋植剂  3 长效避孕针（膜剂、栓剂、凝胶）  4复方短效口服避孕药  </w:t>
      </w:r>
    </w:p>
    <w:p>
      <w:pPr>
        <w:keepNext w:val="0"/>
        <w:keepLines w:val="0"/>
        <w:pageBreakBefore w:val="0"/>
        <w:widowControl w:val="0"/>
        <w:kinsoku/>
        <w:wordWrap/>
        <w:overflowPunct/>
        <w:topLinePunct w:val="0"/>
        <w:autoSpaceDE/>
        <w:autoSpaceDN/>
        <w:bidi w:val="0"/>
        <w:adjustRightInd w:val="0"/>
        <w:snapToGrid w:val="0"/>
        <w:spacing w:line="360" w:lineRule="auto"/>
        <w:ind w:firstLine="2640" w:firstLineChars="11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5男用避孕套  6女用避孕套  7外用避孕药（栓剂、膜剂、凝胶）  8安全期   9体外排精  </w:t>
      </w:r>
    </w:p>
    <w:p>
      <w:pPr>
        <w:keepNext w:val="0"/>
        <w:keepLines w:val="0"/>
        <w:pageBreakBefore w:val="0"/>
        <w:widowControl w:val="0"/>
        <w:kinsoku/>
        <w:wordWrap/>
        <w:overflowPunct/>
        <w:topLinePunct w:val="0"/>
        <w:autoSpaceDE/>
        <w:autoSpaceDN/>
        <w:bidi w:val="0"/>
        <w:adjustRightInd w:val="0"/>
        <w:snapToGrid w:val="0"/>
        <w:spacing w:line="240" w:lineRule="auto"/>
        <w:ind w:firstLine="2640" w:firstLineChars="1100"/>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24"/>
          <w:szCs w:val="24"/>
          <w:lang w:eastAsia="zh-CN"/>
        </w:rPr>
        <w:t>10女性绝育术  11男性绝育术  12其他，请详述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 xml:space="preserve">  13未决定</w:t>
      </w:r>
    </w:p>
    <w:tbl>
      <w:tblPr>
        <w:tblStyle w:val="6"/>
        <w:tblpPr w:leftFromText="180" w:rightFromText="180" w:vertAnchor="text" w:horzAnchor="page" w:tblpX="1286" w:tblpY="403"/>
        <w:tblOverlap w:val="never"/>
        <w:tblW w:w="14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093"/>
        <w:gridCol w:w="1562"/>
        <w:gridCol w:w="1710"/>
        <w:gridCol w:w="2337"/>
        <w:gridCol w:w="475"/>
        <w:gridCol w:w="2003"/>
        <w:gridCol w:w="483"/>
        <w:gridCol w:w="1674"/>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0" w:type="dxa"/>
            <w:vMerge w:val="restart"/>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随访时间</w:t>
            </w:r>
          </w:p>
        </w:tc>
        <w:tc>
          <w:tcPr>
            <w:tcW w:w="1093" w:type="dxa"/>
            <w:vMerge w:val="restart"/>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 期</w:t>
            </w:r>
          </w:p>
        </w:tc>
        <w:tc>
          <w:tcPr>
            <w:tcW w:w="1562" w:type="dxa"/>
            <w:vMerge w:val="restart"/>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随访方式</w:t>
            </w:r>
          </w:p>
          <w:p>
            <w:pPr>
              <w:spacing w:line="240" w:lineRule="auto"/>
              <w:rPr>
                <w:rFonts w:hint="eastAsia" w:ascii="仿宋_GB2312" w:hAnsi="仿宋_GB2312" w:eastAsia="仿宋_GB2312" w:cs="仿宋_GB2312"/>
                <w:sz w:val="24"/>
                <w:szCs w:val="24"/>
              </w:rPr>
            </w:pPr>
          </w:p>
        </w:tc>
        <w:tc>
          <w:tcPr>
            <w:tcW w:w="1710" w:type="dxa"/>
            <w:vMerge w:val="restart"/>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目前使用</w:t>
            </w:r>
          </w:p>
          <w:p>
            <w:pPr>
              <w:widowControl/>
              <w:adjustRightInd w:val="0"/>
              <w:snapToGrid w:val="0"/>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的避孕方法</w:t>
            </w:r>
          </w:p>
          <w:p>
            <w:pPr>
              <w:widowControl/>
              <w:adjustRightInd w:val="0"/>
              <w:snapToGrid w:val="0"/>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（编码）</w:t>
            </w:r>
          </w:p>
        </w:tc>
        <w:tc>
          <w:tcPr>
            <w:tcW w:w="2337" w:type="dxa"/>
            <w:vMerge w:val="restart"/>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主要感受</w:t>
            </w:r>
          </w:p>
        </w:tc>
        <w:tc>
          <w:tcPr>
            <w:tcW w:w="2478" w:type="dxa"/>
            <w:gridSpan w:val="2"/>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是否继续使用</w:t>
            </w:r>
          </w:p>
        </w:tc>
        <w:tc>
          <w:tcPr>
            <w:tcW w:w="2157" w:type="dxa"/>
            <w:gridSpan w:val="2"/>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是否再次意外妊娠</w:t>
            </w:r>
          </w:p>
        </w:tc>
        <w:tc>
          <w:tcPr>
            <w:tcW w:w="1692" w:type="dxa"/>
            <w:vMerge w:val="restart"/>
            <w:tcBorders>
              <w:bottom w:val="single" w:color="auto" w:sz="4" w:space="0"/>
            </w:tcBorders>
            <w:vAlign w:val="center"/>
          </w:tcPr>
          <w:p>
            <w:pPr>
              <w:widowControl/>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随访者签名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360" w:type="dxa"/>
            <w:vMerge w:val="continue"/>
            <w:vAlign w:val="center"/>
          </w:tcPr>
          <w:p>
            <w:pPr>
              <w:widowControl/>
              <w:spacing w:line="360" w:lineRule="exact"/>
              <w:jc w:val="center"/>
              <w:rPr>
                <w:rFonts w:hint="eastAsia" w:ascii="仿宋_GB2312" w:hAnsi="仿宋_GB2312" w:eastAsia="仿宋_GB2312" w:cs="仿宋_GB2312"/>
                <w:sz w:val="24"/>
                <w:szCs w:val="24"/>
              </w:rPr>
            </w:pPr>
          </w:p>
        </w:tc>
        <w:tc>
          <w:tcPr>
            <w:tcW w:w="1093" w:type="dxa"/>
            <w:vMerge w:val="continue"/>
            <w:vAlign w:val="center"/>
          </w:tcPr>
          <w:p>
            <w:pPr>
              <w:widowControl/>
              <w:spacing w:line="360" w:lineRule="exact"/>
              <w:jc w:val="center"/>
              <w:rPr>
                <w:rFonts w:hint="eastAsia" w:ascii="仿宋_GB2312" w:hAnsi="仿宋_GB2312" w:eastAsia="仿宋_GB2312" w:cs="仿宋_GB2312"/>
                <w:sz w:val="24"/>
                <w:szCs w:val="24"/>
              </w:rPr>
            </w:pPr>
          </w:p>
        </w:tc>
        <w:tc>
          <w:tcPr>
            <w:tcW w:w="1562" w:type="dxa"/>
            <w:vMerge w:val="continue"/>
            <w:vAlign w:val="center"/>
          </w:tcPr>
          <w:p>
            <w:pPr>
              <w:spacing w:line="360" w:lineRule="exact"/>
              <w:jc w:val="center"/>
              <w:rPr>
                <w:rFonts w:hint="eastAsia" w:ascii="仿宋_GB2312" w:hAnsi="仿宋_GB2312" w:eastAsia="仿宋_GB2312" w:cs="仿宋_GB2312"/>
                <w:sz w:val="24"/>
                <w:szCs w:val="24"/>
              </w:rPr>
            </w:pPr>
          </w:p>
        </w:tc>
        <w:tc>
          <w:tcPr>
            <w:tcW w:w="1710" w:type="dxa"/>
            <w:vMerge w:val="continue"/>
            <w:vAlign w:val="center"/>
          </w:tcPr>
          <w:p>
            <w:pPr>
              <w:widowControl/>
              <w:spacing w:line="360" w:lineRule="exact"/>
              <w:jc w:val="center"/>
              <w:rPr>
                <w:rFonts w:hint="eastAsia" w:ascii="仿宋_GB2312" w:hAnsi="仿宋_GB2312" w:eastAsia="仿宋_GB2312" w:cs="仿宋_GB2312"/>
                <w:sz w:val="24"/>
                <w:szCs w:val="24"/>
              </w:rPr>
            </w:pPr>
          </w:p>
        </w:tc>
        <w:tc>
          <w:tcPr>
            <w:tcW w:w="2337" w:type="dxa"/>
            <w:vMerge w:val="continue"/>
            <w:vAlign w:val="center"/>
          </w:tcPr>
          <w:p>
            <w:pPr>
              <w:widowControl/>
              <w:spacing w:line="360" w:lineRule="exact"/>
              <w:jc w:val="center"/>
              <w:rPr>
                <w:rFonts w:hint="eastAsia" w:ascii="仿宋_GB2312" w:hAnsi="仿宋_GB2312" w:eastAsia="仿宋_GB2312" w:cs="仿宋_GB2312"/>
                <w:sz w:val="24"/>
                <w:szCs w:val="24"/>
              </w:rPr>
            </w:pPr>
          </w:p>
        </w:tc>
        <w:tc>
          <w:tcPr>
            <w:tcW w:w="475" w:type="dxa"/>
            <w:vAlign w:val="center"/>
          </w:tcPr>
          <w:p>
            <w:pPr>
              <w:widowControl/>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2003" w:type="dxa"/>
            <w:vAlign w:val="center"/>
          </w:tcPr>
          <w:p>
            <w:pPr>
              <w:widowControl/>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否，拟更换方法</w:t>
            </w:r>
          </w:p>
          <w:p>
            <w:pPr>
              <w:widowControl/>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（编码）</w:t>
            </w:r>
          </w:p>
        </w:tc>
        <w:tc>
          <w:tcPr>
            <w:tcW w:w="483" w:type="dxa"/>
            <w:vAlign w:val="center"/>
          </w:tcPr>
          <w:p>
            <w:pPr>
              <w:widowControl/>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1674" w:type="dxa"/>
            <w:vAlign w:val="center"/>
          </w:tcPr>
          <w:p>
            <w:pPr>
              <w:widowControl/>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是，详述</w:t>
            </w:r>
          </w:p>
        </w:tc>
        <w:tc>
          <w:tcPr>
            <w:tcW w:w="1692" w:type="dxa"/>
            <w:vMerge w:val="continue"/>
            <w:vAlign w:val="center"/>
          </w:tcPr>
          <w:p>
            <w:pPr>
              <w:widowControl/>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1360" w:type="dxa"/>
            <w:vAlign w:val="center"/>
          </w:tcPr>
          <w:p>
            <w:pPr>
              <w:widowControl/>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3个月</w:t>
            </w:r>
          </w:p>
        </w:tc>
        <w:tc>
          <w:tcPr>
            <w:tcW w:w="1093" w:type="dxa"/>
          </w:tcPr>
          <w:p>
            <w:pPr>
              <w:widowControl/>
              <w:spacing w:line="360" w:lineRule="exact"/>
              <w:rPr>
                <w:rFonts w:hint="eastAsia" w:ascii="仿宋_GB2312" w:hAnsi="仿宋_GB2312" w:eastAsia="仿宋_GB2312" w:cs="仿宋_GB2312"/>
                <w:sz w:val="24"/>
                <w:szCs w:val="24"/>
              </w:rPr>
            </w:pPr>
          </w:p>
        </w:tc>
        <w:tc>
          <w:tcPr>
            <w:tcW w:w="1562" w:type="dxa"/>
            <w:vAlign w:val="center"/>
          </w:tcPr>
          <w:p>
            <w:pPr>
              <w:widowControl/>
              <w:spacing w:line="360" w:lineRule="exact"/>
              <w:rPr>
                <w:rFonts w:hint="eastAsia" w:ascii="仿宋_GB2312" w:hAnsi="仿宋_GB2312" w:eastAsia="仿宋_GB2312" w:cs="仿宋_GB2312"/>
                <w:sz w:val="24"/>
                <w:szCs w:val="24"/>
              </w:rPr>
            </w:pPr>
          </w:p>
        </w:tc>
        <w:tc>
          <w:tcPr>
            <w:tcW w:w="1710" w:type="dxa"/>
          </w:tcPr>
          <w:p>
            <w:pPr>
              <w:spacing w:line="360" w:lineRule="exact"/>
              <w:rPr>
                <w:rFonts w:hint="eastAsia" w:ascii="仿宋_GB2312" w:hAnsi="仿宋_GB2312" w:eastAsia="仿宋_GB2312" w:cs="仿宋_GB2312"/>
                <w:sz w:val="24"/>
                <w:szCs w:val="24"/>
              </w:rPr>
            </w:pPr>
          </w:p>
        </w:tc>
        <w:tc>
          <w:tcPr>
            <w:tcW w:w="2337" w:type="dxa"/>
          </w:tcPr>
          <w:p>
            <w:pPr>
              <w:spacing w:line="360" w:lineRule="exact"/>
              <w:jc w:val="center"/>
              <w:rPr>
                <w:rFonts w:hint="eastAsia" w:ascii="仿宋_GB2312" w:hAnsi="仿宋_GB2312" w:eastAsia="仿宋_GB2312" w:cs="仿宋_GB2312"/>
                <w:sz w:val="24"/>
                <w:szCs w:val="24"/>
              </w:rPr>
            </w:pPr>
          </w:p>
        </w:tc>
        <w:tc>
          <w:tcPr>
            <w:tcW w:w="475" w:type="dxa"/>
            <w:vAlign w:val="center"/>
          </w:tcPr>
          <w:p>
            <w:pPr>
              <w:widowControl/>
              <w:spacing w:line="360" w:lineRule="exact"/>
              <w:rPr>
                <w:rFonts w:hint="eastAsia" w:ascii="仿宋_GB2312" w:hAnsi="仿宋_GB2312" w:eastAsia="仿宋_GB2312" w:cs="仿宋_GB2312"/>
                <w:sz w:val="24"/>
                <w:szCs w:val="24"/>
              </w:rPr>
            </w:pPr>
          </w:p>
        </w:tc>
        <w:tc>
          <w:tcPr>
            <w:tcW w:w="2003" w:type="dxa"/>
            <w:vAlign w:val="center"/>
          </w:tcPr>
          <w:p>
            <w:pPr>
              <w:widowControl/>
              <w:spacing w:line="360" w:lineRule="exact"/>
              <w:rPr>
                <w:rFonts w:hint="eastAsia" w:ascii="仿宋_GB2312" w:hAnsi="仿宋_GB2312" w:eastAsia="仿宋_GB2312" w:cs="仿宋_GB2312"/>
                <w:sz w:val="24"/>
                <w:szCs w:val="24"/>
              </w:rPr>
            </w:pPr>
          </w:p>
        </w:tc>
        <w:tc>
          <w:tcPr>
            <w:tcW w:w="483" w:type="dxa"/>
            <w:vAlign w:val="center"/>
          </w:tcPr>
          <w:p>
            <w:pPr>
              <w:widowControl/>
              <w:spacing w:line="360" w:lineRule="exact"/>
              <w:rPr>
                <w:rFonts w:hint="eastAsia" w:ascii="仿宋_GB2312" w:hAnsi="仿宋_GB2312" w:eastAsia="仿宋_GB2312" w:cs="仿宋_GB2312"/>
                <w:sz w:val="24"/>
                <w:szCs w:val="24"/>
              </w:rPr>
            </w:pPr>
          </w:p>
        </w:tc>
        <w:tc>
          <w:tcPr>
            <w:tcW w:w="1674" w:type="dxa"/>
            <w:vAlign w:val="center"/>
          </w:tcPr>
          <w:p>
            <w:pPr>
              <w:widowControl/>
              <w:spacing w:line="360" w:lineRule="exact"/>
              <w:rPr>
                <w:rFonts w:hint="eastAsia" w:ascii="仿宋_GB2312" w:hAnsi="仿宋_GB2312" w:eastAsia="仿宋_GB2312" w:cs="仿宋_GB2312"/>
                <w:sz w:val="24"/>
                <w:szCs w:val="24"/>
              </w:rPr>
            </w:pPr>
          </w:p>
        </w:tc>
        <w:tc>
          <w:tcPr>
            <w:tcW w:w="1692" w:type="dxa"/>
          </w:tcPr>
          <w:p>
            <w:pPr>
              <w:widowControl/>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360" w:type="dxa"/>
            <w:vAlign w:val="center"/>
          </w:tcPr>
          <w:p>
            <w:pPr>
              <w:widowControl/>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6个月</w:t>
            </w:r>
          </w:p>
        </w:tc>
        <w:tc>
          <w:tcPr>
            <w:tcW w:w="1093" w:type="dxa"/>
          </w:tcPr>
          <w:p>
            <w:pPr>
              <w:widowControl/>
              <w:spacing w:line="360" w:lineRule="exact"/>
              <w:rPr>
                <w:rFonts w:hint="eastAsia" w:ascii="仿宋_GB2312" w:hAnsi="仿宋_GB2312" w:eastAsia="仿宋_GB2312" w:cs="仿宋_GB2312"/>
                <w:sz w:val="24"/>
                <w:szCs w:val="24"/>
              </w:rPr>
            </w:pPr>
          </w:p>
        </w:tc>
        <w:tc>
          <w:tcPr>
            <w:tcW w:w="1562" w:type="dxa"/>
            <w:vAlign w:val="center"/>
          </w:tcPr>
          <w:p>
            <w:pPr>
              <w:widowControl/>
              <w:spacing w:line="360" w:lineRule="exact"/>
              <w:rPr>
                <w:rFonts w:hint="eastAsia" w:ascii="仿宋_GB2312" w:hAnsi="仿宋_GB2312" w:eastAsia="仿宋_GB2312" w:cs="仿宋_GB2312"/>
                <w:sz w:val="24"/>
                <w:szCs w:val="24"/>
              </w:rPr>
            </w:pPr>
          </w:p>
        </w:tc>
        <w:tc>
          <w:tcPr>
            <w:tcW w:w="1710" w:type="dxa"/>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2337" w:type="dxa"/>
          </w:tcPr>
          <w:p>
            <w:pPr>
              <w:widowControl/>
              <w:spacing w:line="360" w:lineRule="exact"/>
              <w:rPr>
                <w:rFonts w:hint="eastAsia" w:ascii="仿宋_GB2312" w:hAnsi="仿宋_GB2312" w:eastAsia="仿宋_GB2312" w:cs="仿宋_GB2312"/>
                <w:sz w:val="24"/>
                <w:szCs w:val="24"/>
              </w:rPr>
            </w:pPr>
          </w:p>
        </w:tc>
        <w:tc>
          <w:tcPr>
            <w:tcW w:w="475" w:type="dxa"/>
            <w:vAlign w:val="center"/>
          </w:tcPr>
          <w:p>
            <w:pPr>
              <w:widowControl/>
              <w:spacing w:line="360" w:lineRule="exact"/>
              <w:rPr>
                <w:rFonts w:hint="eastAsia" w:ascii="仿宋_GB2312" w:hAnsi="仿宋_GB2312" w:eastAsia="仿宋_GB2312" w:cs="仿宋_GB2312"/>
                <w:sz w:val="24"/>
                <w:szCs w:val="24"/>
              </w:rPr>
            </w:pPr>
          </w:p>
        </w:tc>
        <w:tc>
          <w:tcPr>
            <w:tcW w:w="2003" w:type="dxa"/>
            <w:vAlign w:val="center"/>
          </w:tcPr>
          <w:p>
            <w:pPr>
              <w:spacing w:line="360" w:lineRule="exact"/>
              <w:rPr>
                <w:rFonts w:hint="eastAsia" w:ascii="仿宋_GB2312" w:hAnsi="仿宋_GB2312" w:eastAsia="仿宋_GB2312" w:cs="仿宋_GB2312"/>
                <w:sz w:val="24"/>
                <w:szCs w:val="24"/>
              </w:rPr>
            </w:pPr>
          </w:p>
        </w:tc>
        <w:tc>
          <w:tcPr>
            <w:tcW w:w="483" w:type="dxa"/>
            <w:vAlign w:val="center"/>
          </w:tcPr>
          <w:p>
            <w:pPr>
              <w:widowControl/>
              <w:spacing w:line="360" w:lineRule="exact"/>
              <w:rPr>
                <w:rFonts w:hint="eastAsia" w:ascii="仿宋_GB2312" w:hAnsi="仿宋_GB2312" w:eastAsia="仿宋_GB2312" w:cs="仿宋_GB2312"/>
                <w:sz w:val="24"/>
                <w:szCs w:val="24"/>
              </w:rPr>
            </w:pPr>
          </w:p>
        </w:tc>
        <w:tc>
          <w:tcPr>
            <w:tcW w:w="1674" w:type="dxa"/>
            <w:vAlign w:val="center"/>
          </w:tcPr>
          <w:p>
            <w:pPr>
              <w:widowControl/>
              <w:spacing w:line="360" w:lineRule="exact"/>
              <w:rPr>
                <w:rFonts w:hint="eastAsia" w:ascii="仿宋_GB2312" w:hAnsi="仿宋_GB2312" w:eastAsia="仿宋_GB2312" w:cs="仿宋_GB2312"/>
                <w:sz w:val="24"/>
                <w:szCs w:val="24"/>
              </w:rPr>
            </w:pPr>
          </w:p>
        </w:tc>
        <w:tc>
          <w:tcPr>
            <w:tcW w:w="1692" w:type="dxa"/>
          </w:tcPr>
          <w:p>
            <w:pPr>
              <w:widowControl/>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360" w:type="dxa"/>
            <w:vAlign w:val="center"/>
          </w:tcPr>
          <w:p>
            <w:pPr>
              <w:widowControl/>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12个月</w:t>
            </w:r>
          </w:p>
        </w:tc>
        <w:tc>
          <w:tcPr>
            <w:tcW w:w="1093" w:type="dxa"/>
          </w:tcPr>
          <w:p>
            <w:pPr>
              <w:widowControl/>
              <w:spacing w:line="360" w:lineRule="exact"/>
              <w:rPr>
                <w:rFonts w:hint="eastAsia" w:ascii="仿宋_GB2312" w:hAnsi="仿宋_GB2312" w:eastAsia="仿宋_GB2312" w:cs="仿宋_GB2312"/>
                <w:sz w:val="24"/>
                <w:szCs w:val="24"/>
              </w:rPr>
            </w:pPr>
          </w:p>
        </w:tc>
        <w:tc>
          <w:tcPr>
            <w:tcW w:w="1562" w:type="dxa"/>
            <w:vAlign w:val="center"/>
          </w:tcPr>
          <w:p>
            <w:pPr>
              <w:widowControl/>
              <w:spacing w:line="360" w:lineRule="exact"/>
              <w:rPr>
                <w:rFonts w:hint="eastAsia" w:ascii="仿宋_GB2312" w:hAnsi="仿宋_GB2312" w:eastAsia="仿宋_GB2312" w:cs="仿宋_GB2312"/>
                <w:sz w:val="24"/>
                <w:szCs w:val="24"/>
              </w:rPr>
            </w:pPr>
          </w:p>
        </w:tc>
        <w:tc>
          <w:tcPr>
            <w:tcW w:w="1710" w:type="dxa"/>
          </w:tcPr>
          <w:p>
            <w:pPr>
              <w:spacing w:line="360" w:lineRule="exact"/>
              <w:rPr>
                <w:rFonts w:hint="eastAsia" w:ascii="仿宋_GB2312" w:hAnsi="仿宋_GB2312" w:eastAsia="仿宋_GB2312" w:cs="仿宋_GB2312"/>
                <w:sz w:val="24"/>
                <w:szCs w:val="24"/>
              </w:rPr>
            </w:pPr>
          </w:p>
        </w:tc>
        <w:tc>
          <w:tcPr>
            <w:tcW w:w="2337" w:type="dxa"/>
          </w:tcPr>
          <w:p>
            <w:pPr>
              <w:widowControl/>
              <w:spacing w:line="360" w:lineRule="exact"/>
              <w:rPr>
                <w:rFonts w:hint="eastAsia" w:ascii="仿宋_GB2312" w:hAnsi="仿宋_GB2312" w:eastAsia="仿宋_GB2312" w:cs="仿宋_GB2312"/>
                <w:sz w:val="24"/>
                <w:szCs w:val="24"/>
              </w:rPr>
            </w:pPr>
          </w:p>
        </w:tc>
        <w:tc>
          <w:tcPr>
            <w:tcW w:w="475" w:type="dxa"/>
            <w:vAlign w:val="center"/>
          </w:tcPr>
          <w:p>
            <w:pPr>
              <w:widowControl/>
              <w:spacing w:line="360" w:lineRule="exact"/>
              <w:rPr>
                <w:rFonts w:hint="eastAsia" w:ascii="仿宋_GB2312" w:hAnsi="仿宋_GB2312" w:eastAsia="仿宋_GB2312" w:cs="仿宋_GB2312"/>
                <w:sz w:val="24"/>
                <w:szCs w:val="24"/>
              </w:rPr>
            </w:pPr>
          </w:p>
        </w:tc>
        <w:tc>
          <w:tcPr>
            <w:tcW w:w="2003" w:type="dxa"/>
            <w:vAlign w:val="center"/>
          </w:tcPr>
          <w:p>
            <w:pPr>
              <w:spacing w:line="360" w:lineRule="exact"/>
              <w:rPr>
                <w:rFonts w:hint="eastAsia" w:ascii="仿宋_GB2312" w:hAnsi="仿宋_GB2312" w:eastAsia="仿宋_GB2312" w:cs="仿宋_GB2312"/>
                <w:sz w:val="24"/>
                <w:szCs w:val="24"/>
              </w:rPr>
            </w:pPr>
          </w:p>
        </w:tc>
        <w:tc>
          <w:tcPr>
            <w:tcW w:w="483" w:type="dxa"/>
            <w:vAlign w:val="center"/>
          </w:tcPr>
          <w:p>
            <w:pPr>
              <w:widowControl/>
              <w:spacing w:line="360" w:lineRule="exact"/>
              <w:rPr>
                <w:rFonts w:hint="eastAsia" w:ascii="仿宋_GB2312" w:hAnsi="仿宋_GB2312" w:eastAsia="仿宋_GB2312" w:cs="仿宋_GB2312"/>
                <w:sz w:val="24"/>
                <w:szCs w:val="24"/>
              </w:rPr>
            </w:pPr>
          </w:p>
        </w:tc>
        <w:tc>
          <w:tcPr>
            <w:tcW w:w="1674" w:type="dxa"/>
            <w:vAlign w:val="center"/>
          </w:tcPr>
          <w:p>
            <w:pPr>
              <w:widowControl/>
              <w:spacing w:line="360" w:lineRule="exact"/>
              <w:rPr>
                <w:rFonts w:hint="eastAsia" w:ascii="仿宋_GB2312" w:hAnsi="仿宋_GB2312" w:eastAsia="仿宋_GB2312" w:cs="仿宋_GB2312"/>
                <w:sz w:val="24"/>
                <w:szCs w:val="24"/>
              </w:rPr>
            </w:pPr>
          </w:p>
        </w:tc>
        <w:tc>
          <w:tcPr>
            <w:tcW w:w="1692" w:type="dxa"/>
          </w:tcPr>
          <w:p>
            <w:pPr>
              <w:widowControl/>
              <w:spacing w:line="360" w:lineRule="exact"/>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lang w:eastAsia="zh-CN"/>
        </w:rPr>
      </w:pPr>
    </w:p>
    <w:p>
      <w:pPr>
        <w:ind w:firstLine="240" w:firstLineChars="10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eastAsia="zh-CN"/>
        </w:rPr>
        <w:t>咨询指导意见</w:t>
      </w:r>
      <w:r>
        <w:rPr>
          <w:rFonts w:hint="eastAsia" w:ascii="仿宋_GB2312" w:hAnsi="仿宋_GB2312" w:eastAsia="仿宋_GB2312" w:cs="仿宋_GB2312"/>
          <w:sz w:val="24"/>
          <w:szCs w:val="24"/>
          <w:u w:val="single"/>
          <w:lang w:val="en-US" w:eastAsia="zh-CN"/>
        </w:rPr>
        <w:t xml:space="preserve">                                                                                                      </w:t>
      </w:r>
    </w:p>
    <w:p>
      <w:pPr>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 xml:space="preserve">附件6 </w:t>
      </w:r>
      <w:r>
        <w:rPr>
          <w:rFonts w:hint="eastAsia" w:ascii="仿宋_GB2312" w:hAnsi="仿宋_GB2312" w:eastAsia="仿宋_GB2312" w:cs="仿宋_GB2312"/>
          <w:sz w:val="32"/>
          <w:szCs w:val="32"/>
          <w:lang w:eastAsia="zh-CN"/>
        </w:rPr>
        <w:t xml:space="preserve">                               </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PAC服务考核表</w:t>
      </w:r>
    </w:p>
    <w:tbl>
      <w:tblPr>
        <w:tblStyle w:val="6"/>
        <w:tblpPr w:leftFromText="180" w:rightFromText="180" w:vertAnchor="text" w:horzAnchor="margin" w:tblpY="27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2816"/>
        <w:gridCol w:w="1294"/>
        <w:gridCol w:w="4710"/>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2030"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w:t>
            </w:r>
          </w:p>
        </w:tc>
        <w:tc>
          <w:tcPr>
            <w:tcW w:w="2816"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考核内容</w:t>
            </w:r>
          </w:p>
        </w:tc>
        <w:tc>
          <w:tcPr>
            <w:tcW w:w="1294"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分值</w:t>
            </w:r>
          </w:p>
        </w:tc>
        <w:tc>
          <w:tcPr>
            <w:tcW w:w="4710"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评分标准及扣分分值</w:t>
            </w:r>
          </w:p>
        </w:tc>
        <w:tc>
          <w:tcPr>
            <w:tcW w:w="3324"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2030" w:type="dxa"/>
            <w:vMerge w:val="restart"/>
            <w:shd w:val="clear" w:color="auto" w:fill="auto"/>
            <w:vAlign w:val="center"/>
          </w:tcPr>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ind w:left="420" w:hanging="420" w:hanging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门诊计划生育咨询（4</w:t>
            </w:r>
            <w:r>
              <w:rPr>
                <w:rFonts w:hint="eastAsia" w:ascii="仿宋_GB2312" w:hAnsi="仿宋_GB2312" w:eastAsia="仿宋_GB2312" w:cs="仿宋_GB2312"/>
                <w:color w:val="000000"/>
                <w:kern w:val="0"/>
                <w:szCs w:val="21"/>
                <w:lang w:eastAsia="zh-CN"/>
              </w:rPr>
              <w:t>分</w:t>
            </w:r>
            <w:r>
              <w:rPr>
                <w:rFonts w:hint="eastAsia" w:ascii="仿宋_GB2312" w:hAnsi="仿宋_GB2312" w:eastAsia="仿宋_GB2312" w:cs="仿宋_GB2312"/>
                <w:color w:val="000000"/>
                <w:kern w:val="0"/>
                <w:szCs w:val="21"/>
              </w:rPr>
              <w:t>）</w:t>
            </w: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设专门计划生育咨询室</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门诊设专门计划生育咨询室，男伴可以进入陪同接受咨询</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无专门咨询室扣0.5分，有咨询室，但男宾止步扣0.5分</w:t>
            </w:r>
            <w:r>
              <w:rPr>
                <w:rFonts w:hint="eastAsia" w:ascii="仿宋_GB2312" w:hAnsi="仿宋_GB2312" w:eastAsia="仿宋_GB2312" w:cs="仿宋_GB2312"/>
                <w:color w:val="000000"/>
                <w:kern w:val="0"/>
                <w:szCs w:val="21"/>
                <w:lang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2030" w:type="dxa"/>
            <w:vMerge w:val="continue"/>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咨询室布置</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咨询室有直观教具和健康教育资料（模型、折页、小册子等）</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无模型扣0.5分，无健康教育资料扣0.5 分</w:t>
            </w:r>
            <w:r>
              <w:rPr>
                <w:rFonts w:hint="eastAsia" w:ascii="仿宋_GB2312" w:hAnsi="仿宋_GB2312" w:eastAsia="仿宋_GB2312" w:cs="仿宋_GB2312"/>
                <w:color w:val="000000"/>
                <w:kern w:val="0"/>
                <w:szCs w:val="21"/>
                <w:lang w:val="en-US"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2030" w:type="dxa"/>
            <w:vMerge w:val="continue"/>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药具展示柜</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药具展示</w:t>
            </w:r>
            <w:r>
              <w:rPr>
                <w:rFonts w:hint="eastAsia" w:ascii="仿宋_GB2312" w:hAnsi="仿宋_GB2312" w:eastAsia="仿宋_GB2312" w:cs="仿宋_GB2312"/>
                <w:color w:val="000000"/>
                <w:kern w:val="0"/>
                <w:szCs w:val="21"/>
                <w:lang w:eastAsia="zh-CN"/>
              </w:rPr>
              <w:t>齐全</w:t>
            </w:r>
            <w:r>
              <w:rPr>
                <w:rFonts w:hint="eastAsia" w:ascii="仿宋_GB2312" w:hAnsi="仿宋_GB2312" w:eastAsia="仿宋_GB2312" w:cs="仿宋_GB2312"/>
                <w:color w:val="000000"/>
                <w:kern w:val="0"/>
                <w:szCs w:val="21"/>
              </w:rPr>
              <w:t>（自费、免费）</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无药具展示扣1分</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 xml:space="preserve"> </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2030" w:type="dxa"/>
            <w:vMerge w:val="continue"/>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专人咨询</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专人咨询、术前（集体或个别）咨询</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无专人咨询扣0.5分，无个别咨询扣0.5分</w:t>
            </w:r>
            <w:r>
              <w:rPr>
                <w:rFonts w:hint="eastAsia" w:ascii="仿宋_GB2312" w:hAnsi="仿宋_GB2312" w:eastAsia="仿宋_GB2312" w:cs="仿宋_GB2312"/>
                <w:color w:val="000000"/>
                <w:kern w:val="0"/>
                <w:szCs w:val="21"/>
                <w:lang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trPr>
        <w:tc>
          <w:tcPr>
            <w:tcW w:w="2030" w:type="dxa"/>
            <w:vMerge w:val="restart"/>
            <w:shd w:val="clear" w:color="auto" w:fill="auto"/>
            <w:vAlign w:val="center"/>
          </w:tcPr>
          <w:p>
            <w:pPr>
              <w:widowControl/>
              <w:jc w:val="both"/>
              <w:rPr>
                <w:rFonts w:hint="eastAsia" w:ascii="仿宋_GB2312" w:hAnsi="仿宋_GB2312" w:eastAsia="仿宋_GB2312" w:cs="仿宋_GB2312"/>
                <w:color w:val="000000"/>
                <w:kern w:val="0"/>
                <w:szCs w:val="21"/>
              </w:rPr>
            </w:pPr>
          </w:p>
          <w:p>
            <w:pPr>
              <w:widowControl/>
              <w:jc w:val="both"/>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人流术后人群管理情况（24</w:t>
            </w:r>
            <w:r>
              <w:rPr>
                <w:rFonts w:hint="eastAsia" w:ascii="仿宋_GB2312" w:hAnsi="仿宋_GB2312" w:eastAsia="仿宋_GB2312" w:cs="仿宋_GB2312"/>
                <w:color w:val="000000"/>
                <w:kern w:val="0"/>
                <w:szCs w:val="21"/>
                <w:lang w:eastAsia="zh-CN"/>
              </w:rPr>
              <w:t>分</w:t>
            </w:r>
            <w:r>
              <w:rPr>
                <w:rFonts w:hint="eastAsia" w:ascii="仿宋_GB2312" w:hAnsi="仿宋_GB2312" w:eastAsia="仿宋_GB2312" w:cs="仿宋_GB2312"/>
                <w:color w:val="000000"/>
                <w:kern w:val="0"/>
                <w:szCs w:val="21"/>
              </w:rPr>
              <w:t>）</w:t>
            </w: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医院可提供的避孕措施</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医院提供的避孕措施</w:t>
            </w:r>
            <w:r>
              <w:rPr>
                <w:rFonts w:hint="eastAsia" w:ascii="仿宋_GB2312" w:hAnsi="仿宋_GB2312" w:eastAsia="仿宋_GB2312" w:cs="仿宋_GB2312"/>
                <w:color w:val="000000"/>
                <w:kern w:val="0"/>
                <w:szCs w:val="21"/>
                <w:lang w:eastAsia="zh-CN"/>
              </w:rPr>
              <w:t>齐全</w:t>
            </w:r>
            <w:r>
              <w:rPr>
                <w:rFonts w:hint="eastAsia" w:ascii="仿宋_GB2312" w:hAnsi="仿宋_GB2312" w:eastAsia="仿宋_GB2312" w:cs="仿宋_GB2312"/>
                <w:color w:val="000000"/>
                <w:kern w:val="0"/>
                <w:szCs w:val="21"/>
              </w:rPr>
              <w:t>（放环、短效口服避孕药、紧急避孕药、皮埋、外用避孕药等）</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（少一种扣一分，直至扣完全部分数）</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trPr>
        <w:tc>
          <w:tcPr>
            <w:tcW w:w="2030" w:type="dxa"/>
            <w:vMerge w:val="continue"/>
            <w:shd w:val="clear" w:color="auto" w:fill="auto"/>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出院病人宣教</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计生病房术后病人出院前接受避孕节育宣教和个别咨询。</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抽查病史发现1份没有宣教扣1分，扣完为止</w:t>
            </w:r>
            <w:r>
              <w:rPr>
                <w:rFonts w:hint="eastAsia" w:ascii="仿宋_GB2312" w:hAnsi="仿宋_GB2312" w:eastAsia="仿宋_GB2312" w:cs="仿宋_GB2312"/>
                <w:color w:val="000000"/>
                <w:kern w:val="0"/>
                <w:szCs w:val="21"/>
                <w:lang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030" w:type="dxa"/>
            <w:vMerge w:val="continue"/>
            <w:shd w:val="clear" w:color="auto" w:fill="auto"/>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高效避孕措施立即落实率（&gt;50%）</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高效避孕措施立即落实率（&gt;50%）</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&lt;50%扣1分,&lt;30%扣2分,&lt;20%扣3分，&lt;10%扣4分</w:t>
            </w:r>
            <w:r>
              <w:rPr>
                <w:rFonts w:hint="eastAsia" w:ascii="仿宋_GB2312" w:hAnsi="仿宋_GB2312" w:eastAsia="仿宋_GB2312" w:cs="仿宋_GB2312"/>
                <w:color w:val="000000"/>
                <w:kern w:val="0"/>
                <w:szCs w:val="21"/>
                <w:lang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030" w:type="dxa"/>
            <w:vMerge w:val="continue"/>
            <w:shd w:val="clear" w:color="auto" w:fill="auto"/>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查看人流术后放环率（﹥5%）</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根据季度报表查看人流术后放环率（﹥5%）</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不达标扣2分</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rPr>
            </w:pP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030" w:type="dxa"/>
            <w:vMerge w:val="continue"/>
            <w:shd w:val="clear" w:color="auto" w:fill="auto"/>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人流术后1月随访率（﹥80%）</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人流术后1月随访率（﹥80%）</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&lt;80%扣1分,&lt;60%扣2分，&lt;50%扣3分，&lt;40%扣4分</w:t>
            </w:r>
            <w:r>
              <w:rPr>
                <w:rFonts w:hint="eastAsia" w:ascii="仿宋_GB2312" w:hAnsi="仿宋_GB2312" w:eastAsia="仿宋_GB2312" w:cs="仿宋_GB2312"/>
                <w:color w:val="000000"/>
                <w:kern w:val="0"/>
                <w:szCs w:val="21"/>
                <w:lang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030" w:type="dxa"/>
            <w:vMerge w:val="continue"/>
            <w:shd w:val="clear" w:color="auto" w:fill="auto"/>
            <w:vAlign w:val="center"/>
          </w:tcPr>
          <w:p>
            <w:pPr>
              <w:widowControl/>
              <w:jc w:val="left"/>
              <w:rPr>
                <w:rFonts w:hint="eastAsia" w:ascii="仿宋_GB2312" w:hAnsi="仿宋_GB2312" w:eastAsia="仿宋_GB2312" w:cs="仿宋_GB2312"/>
                <w:color w:val="000000"/>
                <w:kern w:val="0"/>
                <w:szCs w:val="21"/>
              </w:rPr>
            </w:pPr>
          </w:p>
        </w:tc>
        <w:tc>
          <w:tcPr>
            <w:tcW w:w="2816"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3个月内高效避孕措施续用率（﹥30%）</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3个月内高效避孕措施续用率（﹥30%）</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&lt;30%扣1分,&lt;20%扣2分，&lt;10%扣3分，&lt;5%扣4分</w:t>
            </w:r>
            <w:r>
              <w:rPr>
                <w:rFonts w:hint="eastAsia" w:ascii="仿宋_GB2312" w:hAnsi="仿宋_GB2312" w:eastAsia="仿宋_GB2312" w:cs="仿宋_GB2312"/>
                <w:color w:val="000000"/>
                <w:kern w:val="0"/>
                <w:szCs w:val="21"/>
                <w:lang w:eastAsia="zh-CN"/>
              </w:rPr>
              <w:t>）</w:t>
            </w: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exact"/>
        </w:trPr>
        <w:tc>
          <w:tcPr>
            <w:tcW w:w="2030" w:type="dxa"/>
            <w:shd w:val="clear" w:color="auto" w:fill="auto"/>
            <w:vAlign w:val="center"/>
          </w:tcPr>
          <w:p>
            <w:pPr>
              <w:widowControl/>
              <w:rPr>
                <w:rFonts w:hint="eastAsia" w:ascii="仿宋_GB2312" w:hAnsi="仿宋_GB2312" w:eastAsia="仿宋_GB2312" w:cs="仿宋_GB2312"/>
                <w:color w:val="000000"/>
                <w:kern w:val="0"/>
                <w:szCs w:val="21"/>
              </w:rPr>
            </w:pP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两非禁令执行情况（2分）</w:t>
            </w:r>
          </w:p>
        </w:tc>
        <w:tc>
          <w:tcPr>
            <w:tcW w:w="281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现场查看</w:t>
            </w:r>
          </w:p>
        </w:tc>
        <w:tc>
          <w:tcPr>
            <w:tcW w:w="1294"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4710" w:type="dxa"/>
            <w:shd w:val="clear" w:color="auto" w:fill="auto"/>
            <w:vAlign w:val="center"/>
          </w:tcPr>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现场查看（1）妇科、产科、计划生育门诊、门诊手术室候诊大厅、诊室、诊疗桌、妇产科病房护士台；（2）各B超预约台、B超候诊区、B超室内</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两非标志摆放和墙报张贴情况项不符扣1分</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无两非标志扣2分</w:t>
            </w:r>
            <w:r>
              <w:rPr>
                <w:rFonts w:hint="eastAsia" w:ascii="仿宋_GB2312" w:hAnsi="仿宋_GB2312" w:eastAsia="仿宋_GB2312" w:cs="仿宋_GB2312"/>
                <w:color w:val="000000"/>
                <w:kern w:val="0"/>
                <w:szCs w:val="21"/>
                <w:lang w:eastAsia="zh-CN"/>
              </w:rPr>
              <w:t>）</w:t>
            </w:r>
          </w:p>
          <w:p>
            <w:pPr>
              <w:widowControl/>
              <w:jc w:val="left"/>
              <w:rPr>
                <w:rFonts w:hint="eastAsia" w:ascii="仿宋_GB2312" w:hAnsi="仿宋_GB2312" w:eastAsia="仿宋_GB2312" w:cs="仿宋_GB2312"/>
                <w:color w:val="000000"/>
                <w:kern w:val="0"/>
                <w:szCs w:val="21"/>
              </w:rPr>
            </w:pPr>
          </w:p>
        </w:tc>
        <w:tc>
          <w:tcPr>
            <w:tcW w:w="3324" w:type="dxa"/>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bl>
    <w:p>
      <w:pPr>
        <w:adjustRightInd w:val="0"/>
        <w:snapToGrid w:val="0"/>
        <w:spacing w:line="10" w:lineRule="atLeast"/>
        <w:ind w:firstLine="420" w:firstLineChars="200"/>
        <w:outlineLvl w:val="0"/>
      </w:pPr>
    </w:p>
    <w:p>
      <w:pPr>
        <w:adjustRightInd w:val="0"/>
        <w:snapToGrid w:val="0"/>
        <w:spacing w:line="10" w:lineRule="atLeast"/>
        <w:outlineLvl w:val="0"/>
      </w:pPr>
      <w:bookmarkStart w:id="35" w:name="_GoBack"/>
      <w:bookmarkEnd w:id="35"/>
    </w:p>
    <w:sectPr>
      <w:footerReference r:id="rId7" w:type="default"/>
      <w:footerReference r:id="rId8" w:type="even"/>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129D4D-3D46-407C-8EE7-9083CFB1D8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69384EF-1F5E-483C-A43C-0F5077B892D8}"/>
  </w:font>
  <w:font w:name="仿宋">
    <w:panose1 w:val="02010609060101010101"/>
    <w:charset w:val="86"/>
    <w:family w:val="modern"/>
    <w:pitch w:val="default"/>
    <w:sig w:usb0="800002BF" w:usb1="38CF7CFA" w:usb2="00000016" w:usb3="00000000" w:csb0="00040001" w:csb1="00000000"/>
    <w:embedRegular r:id="rId3" w:fontKey="{1A77CF5C-B8A4-426D-AB58-67E9237B1D67}"/>
  </w:font>
  <w:font w:name="仿宋_GB2312">
    <w:panose1 w:val="02010609030101010101"/>
    <w:charset w:val="86"/>
    <w:family w:val="modern"/>
    <w:pitch w:val="default"/>
    <w:sig w:usb0="00000001" w:usb1="080E0000" w:usb2="00000000" w:usb3="00000000" w:csb0="00040000" w:csb1="00000000"/>
    <w:embedRegular r:id="rId4" w:fontKey="{E01B9DE8-9F24-4B24-8F6D-64E5AA0A9D7C}"/>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5" w:fontKey="{E73E1315-E1DE-4C33-81AC-49ACB1799034}"/>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embedRegular r:id="rId6" w:fontKey="{D46D06BB-C2EE-445E-8AF1-931A0D36F2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464388"/>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23082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2 -</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 o:spid="_x0000_s2051" o:spt="202" type="#_x0000_t202" style="position:absolute;left:0pt;margin-left:138pt;margin-top:778.35pt;height:6pt;width:13.9pt;mso-position-horizontal-relative:page;mso-position-vertical-relative:page;mso-wrap-style:none;z-index:-251657216;mso-width-relative:page;mso-height-relative:page;" filled="f" stroked="f" coordsize="21600,21600" o:gfxdata="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HGso9gAAAAN&#10;AQAADwAAAAAAAAABACAAAAAiAAAAZHJzL2Rvd25yZXYueG1sUEsBAhQAFAAAAAgAh07iQGpcecKq&#10;AQAAbgMAAA4AAAAAAAAAAQAgAAAAJwEAAGRycy9lMm9Eb2MueG1sUEsFBgAAAAAGAAYAWQEAAEMF&#10;AAAAAA==&#10;">
          <v:path/>
          <v:fill on="f" focussize="0,0"/>
          <v:stroke on="f" joinstyle="miter"/>
          <v:imagedata o:title=""/>
          <o:lock v:ext="edit"/>
          <v:textbox inset="0mm,0mm,0mm,0mm" style="mso-fit-shape-to-text:t;">
            <w:txbxContent>
              <w:p>
                <w:pPr>
                  <w:pStyle w:val="15"/>
                  <w:rPr>
                    <w:sz w:val="17"/>
                    <w:szCs w:val="17"/>
                  </w:rPr>
                </w:pPr>
                <w:r>
                  <w:rPr>
                    <w:rFonts w:ascii="Times New Roman" w:hAnsi="Times New Roman" w:eastAsia="Times New Roman" w:cs="Times New Roman"/>
                    <w:color w:val="000000"/>
                    <w:sz w:val="17"/>
                    <w:szCs w:val="17"/>
                    <w:lang w:val="en-US" w:eastAsia="en-US" w:bidi="en-US"/>
                  </w:rPr>
                  <w:t>-</w:t>
                </w:r>
                <w:r>
                  <w:fldChar w:fldCharType="begin"/>
                </w:r>
                <w:r>
                  <w:instrText xml:space="preserve"> PAGE \* MERGEFORMAT </w:instrText>
                </w:r>
                <w:r>
                  <w:fldChar w:fldCharType="separate"/>
                </w:r>
                <w:r>
                  <w:rPr>
                    <w:sz w:val="17"/>
                    <w:szCs w:val="17"/>
                    <w:lang w:val="en-US" w:eastAsia="en-US" w:bidi="en-US"/>
                  </w:rPr>
                  <w:t>2</w:t>
                </w:r>
                <w:r>
                  <w:rPr>
                    <w:sz w:val="17"/>
                    <w:szCs w:val="17"/>
                    <w:lang w:val="en-US" w:eastAsia="en-US" w:bidi="en-US"/>
                  </w:rPr>
                  <w:fldChar w:fldCharType="end"/>
                </w:r>
                <w:r>
                  <w:rPr>
                    <w:rFonts w:ascii="Times New Roman" w:hAnsi="Times New Roman" w:eastAsia="Times New Roman" w:cs="Times New Roman"/>
                    <w:color w:val="000000"/>
                    <w:sz w:val="17"/>
                    <w:szCs w:val="17"/>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594464388"/>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1 -</w:t>
                    </w:r>
                    <w:r>
                      <w:fldChar w:fldCharType="end"/>
                    </w:r>
                  </w:p>
                </w:sdtContent>
              </w:sdt>
              <w:p/>
            </w:txbxContent>
          </v:textbox>
        </v:shape>
      </w:pic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23082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2 -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0DB2"/>
    <w:rsid w:val="00066E81"/>
    <w:rsid w:val="00097B76"/>
    <w:rsid w:val="000F47FC"/>
    <w:rsid w:val="0018763D"/>
    <w:rsid w:val="001D1385"/>
    <w:rsid w:val="00212A33"/>
    <w:rsid w:val="00405147"/>
    <w:rsid w:val="004F3DAB"/>
    <w:rsid w:val="005935A4"/>
    <w:rsid w:val="005E6B4F"/>
    <w:rsid w:val="005F5862"/>
    <w:rsid w:val="00714A1F"/>
    <w:rsid w:val="00720F22"/>
    <w:rsid w:val="00734B0A"/>
    <w:rsid w:val="007B22A4"/>
    <w:rsid w:val="007C1425"/>
    <w:rsid w:val="007F7810"/>
    <w:rsid w:val="00864408"/>
    <w:rsid w:val="00896E12"/>
    <w:rsid w:val="008C181D"/>
    <w:rsid w:val="00940C8A"/>
    <w:rsid w:val="009E1237"/>
    <w:rsid w:val="009F1C14"/>
    <w:rsid w:val="00A64702"/>
    <w:rsid w:val="00A7328E"/>
    <w:rsid w:val="00AF44A3"/>
    <w:rsid w:val="00B12761"/>
    <w:rsid w:val="00B876B0"/>
    <w:rsid w:val="00BA63A5"/>
    <w:rsid w:val="00C51ADD"/>
    <w:rsid w:val="00C718DB"/>
    <w:rsid w:val="00CF635F"/>
    <w:rsid w:val="00CF70F5"/>
    <w:rsid w:val="00D048E7"/>
    <w:rsid w:val="00D728F7"/>
    <w:rsid w:val="00DC5093"/>
    <w:rsid w:val="00DC74AB"/>
    <w:rsid w:val="00DD49D5"/>
    <w:rsid w:val="00DF0DB2"/>
    <w:rsid w:val="00E61024"/>
    <w:rsid w:val="00E87AA4"/>
    <w:rsid w:val="00E963C4"/>
    <w:rsid w:val="00FD7F1E"/>
    <w:rsid w:val="03271EBA"/>
    <w:rsid w:val="08B53A22"/>
    <w:rsid w:val="0D471269"/>
    <w:rsid w:val="0D696C8B"/>
    <w:rsid w:val="0E3F64EE"/>
    <w:rsid w:val="14551F4E"/>
    <w:rsid w:val="19C0363B"/>
    <w:rsid w:val="25133995"/>
    <w:rsid w:val="27C76717"/>
    <w:rsid w:val="2DAF2085"/>
    <w:rsid w:val="31707A14"/>
    <w:rsid w:val="33AF107E"/>
    <w:rsid w:val="35D640A7"/>
    <w:rsid w:val="3D9D6CB2"/>
    <w:rsid w:val="40A060BE"/>
    <w:rsid w:val="453A0BF0"/>
    <w:rsid w:val="45A82549"/>
    <w:rsid w:val="46BC1DA7"/>
    <w:rsid w:val="4D353300"/>
    <w:rsid w:val="547E0A82"/>
    <w:rsid w:val="57737573"/>
    <w:rsid w:val="5C0D113F"/>
    <w:rsid w:val="602E2279"/>
    <w:rsid w:val="605647D3"/>
    <w:rsid w:val="60B802B2"/>
    <w:rsid w:val="642D527F"/>
    <w:rsid w:val="668A2E43"/>
    <w:rsid w:val="66A359D1"/>
    <w:rsid w:val="67894F2A"/>
    <w:rsid w:val="7749304B"/>
    <w:rsid w:val="7CFA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批注框文本 Char"/>
    <w:basedOn w:val="8"/>
    <w:link w:val="3"/>
    <w:semiHidden/>
    <w:qFormat/>
    <w:uiPriority w:val="99"/>
    <w:rPr>
      <w:rFonts w:ascii="Times New Roman" w:hAnsi="Times New Roman" w:eastAsia="宋体" w:cs="Times New Roman"/>
      <w:sz w:val="18"/>
      <w:szCs w:val="18"/>
    </w:rPr>
  </w:style>
  <w:style w:type="paragraph" w:customStyle="1" w:styleId="12">
    <w:name w:val="Body text|3"/>
    <w:basedOn w:val="1"/>
    <w:qFormat/>
    <w:uiPriority w:val="0"/>
    <w:pPr>
      <w:spacing w:line="665" w:lineRule="exact"/>
      <w:ind w:firstLine="680"/>
    </w:pPr>
    <w:rPr>
      <w:rFonts w:ascii="宋体" w:hAnsi="宋体" w:eastAsia="宋体" w:cs="宋体"/>
      <w:color w:val="auto"/>
      <w:kern w:val="2"/>
      <w:sz w:val="30"/>
      <w:szCs w:val="30"/>
      <w:lang w:val="zh-TW" w:eastAsia="zh-TW" w:bidi="zh-TW"/>
    </w:rPr>
  </w:style>
  <w:style w:type="character" w:customStyle="1" w:styleId="13">
    <w:name w:val="NormalCharacter"/>
    <w:semiHidden/>
    <w:qFormat/>
    <w:uiPriority w:val="0"/>
  </w:style>
  <w:style w:type="paragraph" w:customStyle="1" w:styleId="14">
    <w:name w:val="Body text|1"/>
    <w:basedOn w:val="1"/>
    <w:qFormat/>
    <w:uiPriority w:val="0"/>
    <w:pPr>
      <w:spacing w:line="360" w:lineRule="auto"/>
    </w:pPr>
    <w:rPr>
      <w:rFonts w:ascii="宋体" w:hAnsi="宋体" w:eastAsia="宋体" w:cs="宋体"/>
      <w:color w:val="auto"/>
      <w:kern w:val="2"/>
      <w:sz w:val="22"/>
      <w:szCs w:val="22"/>
      <w:lang w:val="zh-TW" w:eastAsia="zh-TW" w:bidi="zh-TW"/>
    </w:rPr>
  </w:style>
  <w:style w:type="paragraph" w:customStyle="1" w:styleId="15">
    <w:name w:val="Header or footer|2"/>
    <w:basedOn w:val="1"/>
    <w:qFormat/>
    <w:uiPriority w:val="0"/>
    <w:rPr>
      <w:rFonts w:asciiTheme="minorHAnsi" w:hAnsiTheme="minorHAnsi" w:eastAsiaTheme="minorEastAsia" w:cstheme="minorBidi"/>
      <w:color w:val="auto"/>
      <w:kern w:val="2"/>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textRotate="1"/>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71286-3C72-4EE4-83A4-8D9A41684655}">
  <ds:schemaRefs/>
</ds:datastoreItem>
</file>

<file path=docProps/app.xml><?xml version="1.0" encoding="utf-8"?>
<Properties xmlns="http://schemas.openxmlformats.org/officeDocument/2006/extended-properties" xmlns:vt="http://schemas.openxmlformats.org/officeDocument/2006/docPropsVTypes">
  <Template>Normal</Template>
  <Pages>9</Pages>
  <Words>688</Words>
  <Characters>3922</Characters>
  <Lines>32</Lines>
  <Paragraphs>9</Paragraphs>
  <TotalTime>1</TotalTime>
  <ScaleCrop>false</ScaleCrop>
  <LinksUpToDate>false</LinksUpToDate>
  <CharactersWithSpaces>4601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2020-06-05T02:49:00Z</dcterms:created>
  <dc:creator>Windows 用户</dc:creator>
  <cp:lastModifiedBy>顾木梁</cp:lastModifiedBy>
  <cp:lastPrinted>2021-10-28T08:57:00Z</cp:lastPrinted>
  <dcterms:modified xsi:type="dcterms:W3CDTF">2022-01-07T02:45:02Z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990BF6CAF1B5476C8828014742E2D1EA</vt:lpwstr>
  </property>
</Properties>
</file>