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outlineLvl w:val="0"/>
        <w:rPr>
          <w:rFonts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附件4</w:t>
      </w:r>
    </w:p>
    <w:p>
      <w:pPr>
        <w:spacing w:line="440" w:lineRule="exact"/>
        <w:jc w:val="left"/>
        <w:outlineLvl w:val="0"/>
        <w:rPr>
          <w:rFonts w:ascii="黑体" w:hAnsi="宋体" w:eastAsia="黑体" w:cs="宋体"/>
          <w:bCs/>
          <w:sz w:val="32"/>
          <w:szCs w:val="32"/>
        </w:rPr>
      </w:pPr>
    </w:p>
    <w:p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上海市直播电商基地评定指标体系</w:t>
      </w:r>
    </w:p>
    <w:bookmarkEnd w:id="0"/>
    <w:p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4"/>
        <w:tblW w:w="51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12"/>
        <w:gridCol w:w="5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  <w:jc w:val="center"/>
        </w:trPr>
        <w:tc>
          <w:tcPr>
            <w:tcW w:w="1161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一级指标</w:t>
            </w: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二级指标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sz w:val="32"/>
                <w:szCs w:val="32"/>
              </w:rPr>
              <w:t>承载能力</w:t>
            </w: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黑体" w:hAnsi="黑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</w:rPr>
              <w:t>基础硬件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基地面积及直播间数量。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b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黑体" w:hAnsi="黑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4"/>
              </w:rPr>
              <w:t>入驻企业或服务品牌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直播电商企业数量及企业入驻率；服务品牌数量。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sz w:val="32"/>
                <w:szCs w:val="32"/>
              </w:rPr>
              <w:t>示范能力</w:t>
            </w: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发展速度与规模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直播电商交易额或带动零售交易额、营收总额及缴税总额。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b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代表企业情况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3-5个入驻代表企业情况介绍，包括且不限于企业基本情况，直播电商交易额或带动零售交易额、营收总额及缴税总额，达人情况、直播间粉丝数量、服务能力。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吸纳就业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全体直播电商企业从业人数、吸纳应届大学毕业生就业人数。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参与促消费活动情况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企业参加“五五购物节”“丝路云品电商节”“双品网购节”“数字生活节”“11直播月”“网上年货节”等活动的数量。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参与数字商务领域建设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积极参与“丝路电商”合作先行区创建工作。</w:t>
            </w:r>
          </w:p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积极参与“数商兴农”工作，助力上海对口帮扶和乡村振兴。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sz w:val="32"/>
                <w:szCs w:val="32"/>
              </w:rPr>
              <w:t>服务能力</w:t>
            </w: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公共服务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专业服务：如云服务、共享服务、协同行政服务，以及为入驻企业提供仓储物流、摄影美工、客服托管、代运营、会计事务、专利申办、评估咨询、法律支持等。</w:t>
            </w:r>
          </w:p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行政服务：如工商注册、年审年检、税务登记、项目申报等便利服务，以及有关融资、人才、创业、跨境电商等服务。</w:t>
            </w:r>
          </w:p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直播电商服务：直播带货、直播新品牌打造、老字号焕新、短视频内容策划、店铺代运营、营销推广、主播孵化培育、提供商品供应链等服务。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b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金融服务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面向入驻直播电商企业投资基金额度、获得基地金融服务的直播电商企业数量、直播电商企业获得的投融资总额。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人才服务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直播电商人才引进与培养政策、年度直播电商培训人次。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孵化服务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在孵直播电商企业数量、企业孵化成功率、打造直播新品牌数量。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环境营造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统计监测、电商专项政策支持、电商基地开园运营年限。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sz w:val="32"/>
                <w:szCs w:val="32"/>
              </w:rPr>
              <w:t>发展能力</w:t>
            </w: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发展潜力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设立专项直播电商扶持资金并积极落实；是否根据自身情况编制合理的规划文件、实施方案、行动计划、可行性研究报告等，科学指导基地建设与未来发展；是否与大专院校、研究机构建立合作机制，开展直播电商研究，应用新技术、开发新产品（相关文件、新闻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黑体" w:eastAsia="楷体_GB2312"/>
                <w:b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行业引领作用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围绕园区运营、园企互动、生态建设等方面进行模式创新情况；新技术创新应用成果，新模式创新鼓励措施等。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Calibri" w:eastAsia="楷体_GB2312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运营团队特点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运营团队主要成员的工作经验、经历、教育情况，是否在直播平台或直播电商机构、直播基地任管理职务，以判断是否具有对本行业创新的潜力，包含但不限于媒体传播，地产及物业运营、技术开发、广告制作、电商运营等对直播电商具有互补性优势的高端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楷体_GB2312" w:hAnsi="Calibri" w:eastAsia="楷体_GB2312"/>
              </w:rPr>
            </w:pPr>
            <w:r>
              <w:rPr>
                <w:rFonts w:hint="eastAsia" w:ascii="楷体_GB2312" w:hAnsi="黑体" w:eastAsia="楷体_GB2312"/>
                <w:b/>
                <w:sz w:val="32"/>
                <w:szCs w:val="32"/>
              </w:rPr>
              <w:t>综合评价</w:t>
            </w: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绿色发展情况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是否开展相关法律法规的培训，传播绿色环保理念，推广可循环、可降解绿色包装，构建绿色协同发展的上下游产业链。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line="440" w:lineRule="exact"/>
              <w:contextualSpacing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所获荣誉</w:t>
            </w:r>
          </w:p>
        </w:tc>
        <w:tc>
          <w:tcPr>
            <w:tcW w:w="6064" w:type="dxa"/>
            <w:vAlign w:val="center"/>
          </w:tcPr>
          <w:p>
            <w:pPr>
              <w:spacing w:line="440" w:lineRule="exact"/>
              <w:contextualSpacing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近五年所获荣誉情况，包括但不限于国家级、上海市级、区级，以及相关行业组织、主要直播电商平台给予的荣誉。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4FFD60B1"/>
    <w:rsid w:val="4FF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7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2024-01-04T09:06:00Z</dcterms:created>
  <dc:creator>Anne</dc:creator>
  <cp:lastModifiedBy>Anne</cp:lastModifiedBy>
  <dcterms:modified xsi:type="dcterms:W3CDTF">2024-01-04T09:06:23Z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E994CBCEA68A483DA3DA0E0D1E95E138_11</vt:lpwstr>
  </property>
</Properties>
</file>