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年度行政事业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盘活情况报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告提纲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工作进展情况</w:t>
      </w:r>
    </w:p>
    <w:p>
      <w:pPr>
        <w:widowControl/>
        <w:ind w:firstLine="640" w:firstLineChars="20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结合《财政部关于盘活行政事业单位国有资产的指导意见》（财资〔2022〕124号），全面总结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国有资产盘活工作进展情况，包括工作举措、经验做法和取得成效等。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存在的主要问题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认真梳理本单位、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盘活过程中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存在的主要问题，深入分析问题产生的原因，已采取或拟采取的主要措施。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工作思路和意见建议</w:t>
      </w:r>
    </w:p>
    <w:p>
      <w:pPr>
        <w:widowControl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结合贯彻党的二十大和二十届二中、三中全会精神，认真谋划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进一步做好本单位、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国有资产盘活工作的思路，以及相关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BB79E78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FF074"/>
    <w:rsid w:val="7F9B06F3"/>
    <w:rsid w:val="B74EC710"/>
    <w:rsid w:val="B9F7B6C7"/>
    <w:rsid w:val="BBFD14AF"/>
    <w:rsid w:val="BF553C3E"/>
    <w:rsid w:val="BFEFD069"/>
    <w:rsid w:val="EAFFB55E"/>
    <w:rsid w:val="EFEFAE3F"/>
    <w:rsid w:val="F7C51A74"/>
    <w:rsid w:val="FCF54B4D"/>
    <w:rsid w:val="FF771DD6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1</TotalTime>
  <ScaleCrop>false</ScaleCrop>
  <LinksUpToDate>false</LinksUpToDate>
  <CharactersWithSpaces>251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2024-11-28T02:12:00Z</dcterms:created>
  <dc:creator>93052</dc:creator>
  <cp:lastModifiedBy>lenovo</cp:lastModifiedBy>
  <dcterms:modified xsi:type="dcterms:W3CDTF">2025-01-09T17:53:19Z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17133AA7BA754051A5D25D173B1B1469_12</vt:lpwstr>
  </property>
</Properties>
</file>