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附件3</w:t>
      </w:r>
    </w:p>
    <w:p>
      <w:pPr>
        <w:jc w:val="center"/>
        <w:rPr>
          <w:rFonts w:ascii="方正小标宋简体" w:hAnsi="等线 Light" w:eastAsia="方正小标宋简体" w:cs="等线 Light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黑体"/>
          <w:color w:val="000000"/>
          <w:sz w:val="36"/>
          <w:szCs w:val="36"/>
        </w:rPr>
        <w:t>电子商务示范企业申报提纲</w:t>
      </w:r>
    </w:p>
    <w:bookmarkEnd w:id="0"/>
    <w:p>
      <w:pPr>
        <w:jc w:val="center"/>
        <w:rPr>
          <w:rFonts w:ascii="等线 Light" w:hAnsi="等线 Light" w:eastAsia="等线 Light" w:cs="等线 Light"/>
          <w:b/>
          <w:bCs/>
          <w:color w:val="000000"/>
          <w:sz w:val="36"/>
          <w:szCs w:val="36"/>
        </w:rPr>
      </w:pPr>
    </w:p>
    <w:p>
      <w:pPr>
        <w:spacing w:line="560" w:lineRule="exact"/>
        <w:rPr>
          <w:rFonts w:ascii="黑体" w:hAnsi="黑体" w:eastAsia="黑体" w:cs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 xml:space="preserve">    一、企业概况</w:t>
      </w:r>
    </w:p>
    <w:p>
      <w:pPr>
        <w:spacing w:line="560" w:lineRule="exact"/>
        <w:ind w:firstLine="641"/>
        <w:rPr>
          <w:rFonts w:ascii="楷体_GB2312" w:hAnsi="华文楷体" w:eastAsia="楷体_GB2312"/>
          <w:b/>
          <w:color w:val="000000"/>
          <w:sz w:val="30"/>
          <w:szCs w:val="30"/>
        </w:rPr>
      </w:pPr>
      <w:r>
        <w:rPr>
          <w:rFonts w:hint="eastAsia" w:ascii="楷体_GB2312" w:hAnsi="华文楷体" w:eastAsia="楷体_GB2312"/>
          <w:b/>
          <w:color w:val="000000"/>
          <w:sz w:val="30"/>
          <w:szCs w:val="30"/>
        </w:rPr>
        <w:t>（一）基本情况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包括但不限于：企业成立时间、地点、主营业务、服务对象及覆盖范围，股权结构及与子（母）公司业务联系、企业规模、行业地位、员工数量等。</w:t>
      </w:r>
    </w:p>
    <w:p>
      <w:pPr>
        <w:spacing w:line="560" w:lineRule="exact"/>
        <w:ind w:firstLine="641"/>
        <w:rPr>
          <w:rFonts w:ascii="华文楷体" w:hAnsi="华文楷体" w:eastAsia="华文楷体"/>
          <w:b/>
          <w:color w:val="000000"/>
          <w:sz w:val="30"/>
          <w:szCs w:val="30"/>
        </w:rPr>
      </w:pPr>
      <w:r>
        <w:rPr>
          <w:rFonts w:hint="eastAsia" w:ascii="楷体_GB2312" w:hAnsi="华文楷体" w:eastAsia="楷体_GB2312"/>
          <w:b/>
          <w:color w:val="000000"/>
          <w:sz w:val="30"/>
          <w:szCs w:val="30"/>
        </w:rPr>
        <w:t>（二）经营业绩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包括但不限于：盈利模式、近两年来主营业务收入、产品销售产值、实现利润、利税总额等。</w:t>
      </w:r>
    </w:p>
    <w:p>
      <w:pPr>
        <w:spacing w:line="560" w:lineRule="exact"/>
        <w:ind w:firstLine="641"/>
        <w:rPr>
          <w:rFonts w:ascii="华文楷体" w:hAnsi="华文楷体" w:eastAsia="华文楷体"/>
          <w:b/>
          <w:color w:val="000000"/>
          <w:sz w:val="30"/>
          <w:szCs w:val="30"/>
        </w:rPr>
      </w:pPr>
      <w:r>
        <w:rPr>
          <w:rFonts w:hint="eastAsia" w:ascii="楷体_GB2312" w:hAnsi="华文楷体" w:eastAsia="楷体_GB2312"/>
          <w:b/>
          <w:color w:val="000000"/>
          <w:sz w:val="30"/>
          <w:szCs w:val="30"/>
        </w:rPr>
        <w:t>（三）市场定位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包括但不限于：企业所服务行业或领域整体发展情况，行业地位及市场空间，与主要竞争对手的业务区别等。</w:t>
      </w:r>
    </w:p>
    <w:p>
      <w:pPr>
        <w:spacing w:line="560" w:lineRule="exact"/>
        <w:ind w:firstLine="641"/>
        <w:rPr>
          <w:rFonts w:ascii="华文楷体" w:hAnsi="华文楷体" w:eastAsia="华文楷体"/>
          <w:b/>
          <w:color w:val="000000"/>
          <w:sz w:val="30"/>
          <w:szCs w:val="30"/>
        </w:rPr>
      </w:pPr>
      <w:r>
        <w:rPr>
          <w:rFonts w:hint="eastAsia" w:ascii="楷体_GB2312" w:hAnsi="华文楷体" w:eastAsia="楷体_GB2312"/>
          <w:b/>
          <w:color w:val="000000"/>
          <w:sz w:val="30"/>
          <w:szCs w:val="30"/>
        </w:rPr>
        <w:t>（四）主要产品及服务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包括但不限于：企业主要产品或服务介绍，上线时间，市场效果（通过数据或例证表述）和市场同类产品的区别等。  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二、示范特色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根据业务情况，详细说明本企业在所申报示范方向的特色业务、创新方式方法、实际案例及业绩等。包括但不限于如下几种：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一）促进产业发展。应用大数据、云计算、物联网、人工智能等现代信息技术，创新商业模式和产业形态，推动与传统产业带、智能制造、实体商业、县域经济、社交网络、对外贸易等开展深度融合，促进中小企业数字化转型，打造数字化供应链平台，服务和融入新发展格局、推动高质量发展。丰富商品供应，推动老字号复兴，培育网络新消费品牌，促进消费和产业升级；为中小微企业提供各类专业化服务，为产业赋能。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（二）强化民生保障。积极履行社会责任，在带动就业、扶农助农、公益慈善、社会应急保障等方面发挥重要作用；在餐饮、教育、医疗、出行、住宿、旅游、文体等与民生相关领域开展在线服务创新。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（三）推动绿色发展。在塑料包装减量、绿色包装治理、垃圾分类管理等方面积极履行企业主体责任，加大绿色发展宣传推广，优先开展绿色采购，倡导绿色消费。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（四）助力数商兴农。围绕电商对口合作、服务乡村振兴、促进数商兴农，在产销对接、农产品品牌培育推广、农村电商人才培养、农村电商基础设施建设等方面发挥积极作用。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（五）扩大国际合作。以开放促竞争，以竞争促创新，围绕海外投资和国际化经营，开展平台出海、品牌出海、供应链出海、技术出海、服务出海。积极参与“一带一路”共建国家“丝路电商”交流合作，</w:t>
      </w:r>
      <w:r>
        <w:rPr>
          <w:rFonts w:ascii="仿宋_GB2312" w:eastAsia="仿宋_GB2312"/>
          <w:color w:val="000000"/>
          <w:sz w:val="30"/>
          <w:szCs w:val="30"/>
        </w:rPr>
        <w:t>促进</w:t>
      </w:r>
      <w:r>
        <w:rPr>
          <w:rFonts w:hint="eastAsia" w:ascii="仿宋_GB2312" w:eastAsia="仿宋_GB2312"/>
          <w:color w:val="000000"/>
          <w:sz w:val="30"/>
          <w:szCs w:val="30"/>
        </w:rPr>
        <w:t>与共建国家“丝路云品”对接，举办“丝路云品”主题促消费活动。</w:t>
      </w:r>
    </w:p>
    <w:p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六）优化行业环境。合法合规经营，健全企业合规体系和知识产权保护体系，完善平台规则与治理，保障相关主体合法权益；推动建立团体标准、行业标准、国家标准、国际标准；积极开展党建工作，落实党风廉政责任。</w:t>
      </w:r>
    </w:p>
    <w:p>
      <w:pPr>
        <w:spacing w:line="560" w:lineRule="exact"/>
        <w:ind w:firstLine="640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三、电子商务应用绩效评价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（一）应用电子商务为企业带来的经济效益。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（二）应用电子商务为企业带来的社会效益（包括但不限于带动就业、服务民生、促消费等）。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（三）行业知名度和推广价值。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四、主要管理制度和技术措施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（一）参与行业标准化工作情况和电商领域国标、行标执行情况。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（二）云计算、大数据、人工智能、区块链、5</w:t>
      </w:r>
      <w:r>
        <w:rPr>
          <w:rFonts w:ascii="仿宋_GB2312" w:eastAsia="仿宋_GB2312"/>
          <w:color w:val="000000"/>
          <w:sz w:val="30"/>
          <w:szCs w:val="30"/>
        </w:rPr>
        <w:t>G</w:t>
      </w:r>
      <w:r>
        <w:rPr>
          <w:rFonts w:hint="eastAsia" w:ascii="仿宋_GB2312" w:eastAsia="仿宋_GB2312"/>
          <w:color w:val="000000"/>
          <w:sz w:val="30"/>
          <w:szCs w:val="30"/>
        </w:rPr>
        <w:t>等数字技术应用情况及应用效果。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（三）防止侵犯知识产权和销售假冒伪劣商品的技术措施和管理制度。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（四）完善交易规则、提高交易服务质量和水平、处理交易纠纷，保护用户权益的做法及成效。</w:t>
      </w:r>
    </w:p>
    <w:p>
      <w:pPr>
        <w:spacing w:line="560" w:lineRule="exact"/>
        <w:ind w:firstLine="640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五、企业未来发展规划及其他需要说明的事项</w:t>
      </w:r>
    </w:p>
    <w:p>
      <w:pPr>
        <w:spacing w:line="560" w:lineRule="exact"/>
        <w:ind w:firstLine="640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560" w:lineRule="exact"/>
        <w:rPr>
          <w:rFonts w:ascii="仿宋_GB2312" w:eastAsia="仿宋_GB2312"/>
          <w:color w:val="000000"/>
          <w:sz w:val="30"/>
          <w:szCs w:val="30"/>
        </w:rPr>
        <w:sectPr>
          <w:pgSz w:w="11906" w:h="16838"/>
          <w:pgMar w:top="2098" w:right="1474" w:bottom="1985" w:left="1588" w:header="851" w:footer="2041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31355BD7"/>
    <w:rsid w:val="3135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2023-08-29T07:05:00Z</dcterms:created>
  <dc:creator>suixf</dc:creator>
  <cp:lastModifiedBy>suixf</cp:lastModifiedBy>
  <dcterms:modified xsi:type="dcterms:W3CDTF">2023-08-29T07:05:43Z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E56FCFF4442943DAB576BF7B774646AB_11</vt:lpwstr>
  </property>
</Properties>
</file>