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sz w:val="30"/>
          <w:szCs w:val="30"/>
        </w:rPr>
      </w:pPr>
      <w:r>
        <w:rPr>
          <w:rFonts w:ascii="Times New Roman" w:hAnsi="Times New Roman" w:eastAsia="黑体"/>
          <w:sz w:val="30"/>
          <w:szCs w:val="30"/>
        </w:rPr>
        <w:t>附件2</w:t>
      </w:r>
    </w:p>
    <w:p>
      <w:pPr>
        <w:spacing w:line="600" w:lineRule="exact"/>
        <w:jc w:val="left"/>
        <w:rPr>
          <w:rFonts w:ascii="Times New Roman" w:hAnsi="Times New Roman" w:eastAsia="黑体"/>
          <w:sz w:val="30"/>
          <w:szCs w:val="30"/>
        </w:rPr>
      </w:pPr>
    </w:p>
    <w:p>
      <w:pPr>
        <w:spacing w:line="600" w:lineRule="exact"/>
        <w:jc w:val="center"/>
        <w:rPr>
          <w:rFonts w:ascii="华文中宋" w:hAnsi="华文中宋" w:eastAsia="华文中宋" w:cs="华文中宋"/>
          <w:sz w:val="36"/>
          <w:szCs w:val="36"/>
        </w:rPr>
      </w:pPr>
      <w:r>
        <w:rPr>
          <w:rFonts w:hint="eastAsia" w:ascii="Times New Roman" w:hAnsi="Times New Roman" w:eastAsia="华文中宋"/>
          <w:sz w:val="36"/>
          <w:szCs w:val="36"/>
          <w:lang w:eastAsia="zh-CN"/>
        </w:rPr>
        <w:t>2024</w:t>
      </w:r>
      <w:r>
        <w:rPr>
          <w:rFonts w:hint="eastAsia" w:ascii="华文中宋" w:hAnsi="华文中宋" w:eastAsia="华文中宋" w:cs="华文中宋"/>
          <w:sz w:val="36"/>
          <w:szCs w:val="36"/>
        </w:rPr>
        <w:t>年度行政事业性国有资产报</w:t>
      </w:r>
      <w:r>
        <w:rPr>
          <w:rFonts w:hint="eastAsia" w:ascii="华文中宋" w:hAnsi="华文中宋" w:eastAsia="华文中宋" w:cs="华文中宋"/>
          <w:sz w:val="36"/>
          <w:szCs w:val="36"/>
          <w:lang w:eastAsia="zh-CN"/>
        </w:rPr>
        <w:t>告</w:t>
      </w:r>
      <w:r>
        <w:rPr>
          <w:rFonts w:hint="eastAsia" w:ascii="华文中宋" w:hAnsi="华文中宋" w:eastAsia="华文中宋" w:cs="华文中宋"/>
          <w:sz w:val="36"/>
          <w:szCs w:val="36"/>
        </w:rPr>
        <w:t>填报说明提纲</w:t>
      </w:r>
    </w:p>
    <w:p>
      <w:pPr>
        <w:spacing w:line="600" w:lineRule="exact"/>
        <w:jc w:val="center"/>
        <w:rPr>
          <w:rFonts w:ascii="仿宋_GB2312" w:hAnsi="楷体" w:eastAsia="仿宋_GB2312" w:cs="楷体"/>
          <w:sz w:val="32"/>
          <w:szCs w:val="32"/>
        </w:rPr>
      </w:pPr>
      <w:r>
        <w:rPr>
          <w:rFonts w:hint="eastAsia" w:ascii="仿宋_GB2312" w:hAnsi="楷体" w:eastAsia="仿宋_GB2312" w:cs="楷体"/>
          <w:sz w:val="32"/>
          <w:szCs w:val="32"/>
        </w:rPr>
        <w:t>（行政事业单位参考格式）</w:t>
      </w:r>
    </w:p>
    <w:p>
      <w:pPr>
        <w:spacing w:line="600" w:lineRule="exact"/>
        <w:jc w:val="center"/>
        <w:rPr>
          <w:rFonts w:ascii="仿宋_GB2312" w:hAnsi="楷体" w:eastAsia="仿宋_GB2312" w:cs="楷体"/>
          <w:sz w:val="32"/>
          <w:szCs w:val="32"/>
        </w:rPr>
      </w:pPr>
    </w:p>
    <w:p>
      <w:pPr>
        <w:pStyle w:val="3"/>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数据填报口径</w:t>
      </w:r>
    </w:p>
    <w:p>
      <w:pPr>
        <w:pStyle w:val="3"/>
        <w:spacing w:line="600" w:lineRule="exact"/>
        <w:ind w:firstLine="640"/>
        <w:rPr>
          <w:rFonts w:hAnsi="仿宋"/>
          <w:sz w:val="32"/>
          <w:szCs w:val="32"/>
        </w:rPr>
      </w:pPr>
      <w:r>
        <w:rPr>
          <w:rFonts w:hint="eastAsia" w:hAnsi="仿宋"/>
          <w:sz w:val="32"/>
          <w:szCs w:val="32"/>
        </w:rPr>
        <w:t>本单位为执行</w:t>
      </w:r>
      <w:r>
        <w:rPr>
          <w:rFonts w:ascii="Times New Roman" w:hAnsi="Times New Roman"/>
          <w:sz w:val="32"/>
          <w:szCs w:val="32"/>
        </w:rPr>
        <w:t>XX财务会计制度的XX（单</w:t>
      </w:r>
      <w:r>
        <w:rPr>
          <w:rFonts w:hint="eastAsia" w:hAnsi="仿宋"/>
          <w:sz w:val="32"/>
          <w:szCs w:val="32"/>
        </w:rPr>
        <w:t>位</w:t>
      </w:r>
      <w:r>
        <w:rPr>
          <w:rFonts w:hAnsi="仿宋"/>
          <w:sz w:val="32"/>
          <w:szCs w:val="32"/>
        </w:rPr>
        <w:t>性质）</w:t>
      </w:r>
      <w:r>
        <w:rPr>
          <w:rFonts w:hint="eastAsia" w:hAnsi="仿宋"/>
          <w:sz w:val="32"/>
          <w:szCs w:val="32"/>
        </w:rPr>
        <w:t>单位</w:t>
      </w:r>
      <w:r>
        <w:rPr>
          <w:rFonts w:hAnsi="仿宋"/>
          <w:sz w:val="32"/>
          <w:szCs w:val="32"/>
        </w:rPr>
        <w:t>。</w:t>
      </w:r>
    </w:p>
    <w:p>
      <w:pPr>
        <w:pStyle w:val="3"/>
        <w:spacing w:line="600" w:lineRule="exact"/>
        <w:ind w:firstLine="640"/>
        <w:rPr>
          <w:rFonts w:ascii="黑体" w:hAnsi="黑体" w:eastAsia="黑体" w:cs="黑体"/>
          <w:sz w:val="32"/>
          <w:szCs w:val="32"/>
        </w:rPr>
      </w:pPr>
      <w:r>
        <w:rPr>
          <w:rFonts w:hint="eastAsia" w:ascii="黑体" w:hAnsi="黑体" w:eastAsia="黑体" w:cs="黑体"/>
          <w:sz w:val="32"/>
          <w:szCs w:val="32"/>
        </w:rPr>
        <w:t>二、数据审核情况</w:t>
      </w:r>
    </w:p>
    <w:p>
      <w:pPr>
        <w:pStyle w:val="3"/>
        <w:spacing w:line="600" w:lineRule="exact"/>
        <w:ind w:firstLine="424" w:firstLineChars="132"/>
        <w:rPr>
          <w:rFonts w:ascii="楷体_GB2312" w:hAnsi="黑体" w:eastAsia="楷体_GB2312" w:cs="黑体"/>
          <w:b/>
          <w:sz w:val="32"/>
          <w:szCs w:val="32"/>
        </w:rPr>
      </w:pPr>
      <w:r>
        <w:rPr>
          <w:rFonts w:hint="eastAsia" w:ascii="楷体_GB2312" w:hAnsi="黑体" w:eastAsia="楷体_GB2312" w:cs="黑体"/>
          <w:b/>
          <w:sz w:val="32"/>
          <w:szCs w:val="32"/>
        </w:rPr>
        <w:t>（一）审核情况。</w:t>
      </w:r>
    </w:p>
    <w:p>
      <w:pPr>
        <w:pStyle w:val="3"/>
        <w:spacing w:line="600" w:lineRule="exact"/>
        <w:ind w:firstLine="640"/>
        <w:rPr>
          <w:rFonts w:ascii="Times New Roman" w:hAnsi="Times New Roman"/>
          <w:sz w:val="32"/>
          <w:szCs w:val="32"/>
        </w:rPr>
      </w:pPr>
      <w:r>
        <w:rPr>
          <w:rFonts w:ascii="Times New Roman" w:hAnsi="Times New Roman"/>
          <w:sz w:val="32"/>
          <w:szCs w:val="32"/>
        </w:rPr>
        <w:t>1.核实性审核。本单位全表审核后核实性问题提示共XX类，共计XX条。详细列举并说明主要原因。</w:t>
      </w:r>
    </w:p>
    <w:p>
      <w:pPr>
        <w:pStyle w:val="3"/>
        <w:spacing w:line="600" w:lineRule="exact"/>
        <w:ind w:firstLine="640"/>
        <w:rPr>
          <w:rFonts w:ascii="Times New Roman" w:hAnsi="Times New Roman"/>
          <w:sz w:val="32"/>
          <w:szCs w:val="32"/>
        </w:rPr>
      </w:pPr>
      <w:r>
        <w:rPr>
          <w:rFonts w:ascii="Times New Roman" w:hAnsi="Times New Roman"/>
          <w:sz w:val="32"/>
          <w:szCs w:val="32"/>
        </w:rPr>
        <w:t>2.基础数据审核。本</w:t>
      </w:r>
      <w:r>
        <w:rPr>
          <w:rFonts w:hint="eastAsia" w:ascii="Times New Roman" w:hAnsi="Times New Roman"/>
          <w:sz w:val="32"/>
          <w:szCs w:val="32"/>
        </w:rPr>
        <w:t>单位</w:t>
      </w:r>
      <w:r>
        <w:rPr>
          <w:rFonts w:ascii="Times New Roman" w:hAnsi="Times New Roman"/>
          <w:sz w:val="32"/>
          <w:szCs w:val="32"/>
        </w:rPr>
        <w:t>资产数据与上年对比，增减超过20%且≥±100万元的，说明主要原因。</w:t>
      </w:r>
    </w:p>
    <w:p>
      <w:pPr>
        <w:pStyle w:val="3"/>
        <w:spacing w:line="600" w:lineRule="exact"/>
        <w:ind w:firstLine="640"/>
        <w:rPr>
          <w:rFonts w:hint="eastAsia" w:ascii="Times New Roman" w:hAnsi="Times New Roman"/>
          <w:sz w:val="32"/>
          <w:szCs w:val="32"/>
          <w:lang w:val="en-US" w:eastAsia="zh-CN"/>
        </w:rPr>
      </w:pPr>
      <w:r>
        <w:rPr>
          <w:rFonts w:ascii="Times New Roman" w:hAnsi="Times New Roman"/>
          <w:sz w:val="32"/>
          <w:szCs w:val="32"/>
        </w:rPr>
        <w:t>3.</w:t>
      </w:r>
      <w:r>
        <w:rPr>
          <w:rFonts w:hint="eastAsia" w:ascii="Times New Roman" w:hAnsi="Times New Roman"/>
          <w:sz w:val="32"/>
          <w:szCs w:val="32"/>
          <w:lang w:eastAsia="zh-CN"/>
        </w:rPr>
        <w:t>与</w:t>
      </w:r>
      <w:r>
        <w:rPr>
          <w:rFonts w:hint="eastAsia" w:ascii="Times New Roman" w:hAnsi="Times New Roman"/>
          <w:sz w:val="32"/>
          <w:szCs w:val="32"/>
          <w:lang w:val="en-US" w:eastAsia="zh-CN"/>
        </w:rPr>
        <w:t>2024年12月资产月报对比审核。本单位资产年报中的资产合计数与资产月报中的资产合计数是否一致，若差异比率绝对值超过0.1%，请说明存在差异的主要原因。</w:t>
      </w:r>
    </w:p>
    <w:tbl>
      <w:tblPr>
        <w:tblStyle w:val="9"/>
        <w:tblW w:w="907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564"/>
        <w:gridCol w:w="1618"/>
        <w:gridCol w:w="1618"/>
        <w:gridCol w:w="161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资产年报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资产月报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差异比率</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28"/>
                <w:szCs w:val="28"/>
                <w:vertAlign w:val="baseline"/>
                <w:lang w:val="en-US" w:eastAsia="zh-CN"/>
              </w:rPr>
              <w:t>4=（2-3）/3</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1564" w:type="dxa"/>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资产合计期末数（万元）</w:t>
            </w: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r>
    </w:tbl>
    <w:p>
      <w:pPr>
        <w:pStyle w:val="3"/>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sz w:val="32"/>
          <w:szCs w:val="32"/>
        </w:rPr>
      </w:pPr>
      <w:r>
        <w:rPr>
          <w:rFonts w:hint="eastAsia" w:ascii="Times New Roman" w:hAnsi="Times New Roman"/>
          <w:sz w:val="32"/>
          <w:szCs w:val="32"/>
          <w:lang w:val="en-US" w:eastAsia="zh-CN"/>
        </w:rPr>
        <w:t>4.</w:t>
      </w:r>
      <w:r>
        <w:rPr>
          <w:rFonts w:ascii="Times New Roman" w:hAnsi="Times New Roman"/>
          <w:sz w:val="32"/>
          <w:szCs w:val="32"/>
        </w:rPr>
        <w:t>与政府部门财务报告对比审核。</w:t>
      </w:r>
      <w:r>
        <w:rPr>
          <w:rFonts w:hint="eastAsia" w:hAnsi="仿宋"/>
          <w:sz w:val="32"/>
          <w:szCs w:val="32"/>
        </w:rPr>
        <w:t>本单位</w:t>
      </w:r>
      <w:r>
        <w:rPr>
          <w:rFonts w:hAnsi="仿宋"/>
          <w:sz w:val="32"/>
          <w:szCs w:val="32"/>
        </w:rPr>
        <w:t>已纳入</w:t>
      </w:r>
      <w:r>
        <w:rPr>
          <w:rFonts w:hint="eastAsia" w:hAnsi="仿宋"/>
          <w:sz w:val="32"/>
          <w:szCs w:val="32"/>
        </w:rPr>
        <w:t>/未纳入政府</w:t>
      </w:r>
      <w:r>
        <w:rPr>
          <w:rFonts w:hAnsi="仿宋"/>
          <w:sz w:val="32"/>
          <w:szCs w:val="32"/>
        </w:rPr>
        <w:t>部门财务报告</w:t>
      </w:r>
      <w:r>
        <w:rPr>
          <w:rFonts w:hint="eastAsia" w:hAnsi="仿宋"/>
          <w:sz w:val="32"/>
          <w:szCs w:val="32"/>
        </w:rPr>
        <w:t>填报</w:t>
      </w:r>
      <w:r>
        <w:rPr>
          <w:rFonts w:hAnsi="仿宋"/>
          <w:sz w:val="32"/>
          <w:szCs w:val="32"/>
        </w:rPr>
        <w:t>范围</w:t>
      </w:r>
      <w:r>
        <w:rPr>
          <w:rFonts w:hint="eastAsia" w:hAnsi="仿宋"/>
          <w:sz w:val="32"/>
          <w:szCs w:val="32"/>
          <w:lang w:eastAsia="zh-CN"/>
        </w:rPr>
        <w:t>（若未纳入，请</w:t>
      </w:r>
      <w:r>
        <w:rPr>
          <w:rFonts w:hint="eastAsia" w:hAnsi="Calibri"/>
          <w:color w:val="000000" w:themeColor="text1"/>
          <w:kern w:val="2"/>
          <w:sz w:val="32"/>
          <w:szCs w:val="32"/>
          <w14:textFill>
            <w14:solidFill>
              <w14:schemeClr w14:val="tx1"/>
            </w14:solidFill>
          </w14:textFill>
        </w:rPr>
        <w:t>说明主要原因</w:t>
      </w:r>
      <w:r>
        <w:rPr>
          <w:rFonts w:hint="eastAsia" w:hAnsi="仿宋"/>
          <w:sz w:val="32"/>
          <w:szCs w:val="32"/>
          <w:lang w:eastAsia="zh-CN"/>
        </w:rPr>
        <w:t>）。</w:t>
      </w:r>
    </w:p>
    <w:p>
      <w:pPr>
        <w:pStyle w:val="3"/>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hAnsi="仿宋"/>
          <w:sz w:val="32"/>
          <w:szCs w:val="32"/>
        </w:rPr>
      </w:pPr>
      <w:r>
        <w:rPr>
          <w:rFonts w:hint="eastAsia" w:ascii="Times New Roman" w:hAnsi="Times New Roman"/>
          <w:sz w:val="32"/>
          <w:szCs w:val="32"/>
          <w:lang w:val="en-US" w:eastAsia="zh-CN"/>
        </w:rPr>
        <w:t>5</w:t>
      </w:r>
      <w:r>
        <w:rPr>
          <w:rFonts w:ascii="Times New Roman" w:hAnsi="Times New Roman"/>
          <w:sz w:val="32"/>
          <w:szCs w:val="32"/>
        </w:rPr>
        <w:t>.与部门决算对比审核。</w:t>
      </w:r>
      <w:r>
        <w:rPr>
          <w:rFonts w:hint="eastAsia" w:hAnsi="仿宋"/>
          <w:sz w:val="32"/>
          <w:szCs w:val="32"/>
        </w:rPr>
        <w:t>本单位</w:t>
      </w:r>
      <w:r>
        <w:rPr>
          <w:rFonts w:hAnsi="仿宋"/>
          <w:sz w:val="32"/>
          <w:szCs w:val="32"/>
        </w:rPr>
        <w:t>已纳入</w:t>
      </w:r>
      <w:r>
        <w:rPr>
          <w:rFonts w:hint="eastAsia" w:hAnsi="仿宋"/>
          <w:sz w:val="32"/>
          <w:szCs w:val="32"/>
        </w:rPr>
        <w:t>/未纳入</w:t>
      </w:r>
      <w:r>
        <w:rPr>
          <w:rFonts w:hAnsi="仿宋"/>
          <w:sz w:val="32"/>
          <w:szCs w:val="32"/>
        </w:rPr>
        <w:t>部门决算报告</w:t>
      </w:r>
      <w:r>
        <w:rPr>
          <w:rFonts w:hint="eastAsia" w:hAnsi="仿宋"/>
          <w:sz w:val="32"/>
          <w:szCs w:val="32"/>
        </w:rPr>
        <w:t>填报</w:t>
      </w:r>
      <w:r>
        <w:rPr>
          <w:rFonts w:hAnsi="仿宋"/>
          <w:sz w:val="32"/>
          <w:szCs w:val="32"/>
        </w:rPr>
        <w:t>范围</w:t>
      </w:r>
      <w:r>
        <w:rPr>
          <w:rFonts w:hint="eastAsia" w:hAnsi="仿宋"/>
          <w:sz w:val="32"/>
          <w:szCs w:val="32"/>
          <w:lang w:eastAsia="zh-CN"/>
        </w:rPr>
        <w:t>。若未纳入，请</w:t>
      </w:r>
      <w:r>
        <w:rPr>
          <w:rFonts w:hint="eastAsia" w:hAnsi="Calibri"/>
          <w:color w:val="000000" w:themeColor="text1"/>
          <w:kern w:val="2"/>
          <w:sz w:val="32"/>
          <w:szCs w:val="32"/>
          <w14:textFill>
            <w14:solidFill>
              <w14:schemeClr w14:val="tx1"/>
            </w14:solidFill>
          </w14:textFill>
        </w:rPr>
        <w:t>说明主要原因</w:t>
      </w:r>
      <w:r>
        <w:rPr>
          <w:rFonts w:hint="eastAsia" w:hAnsi="Calibri"/>
          <w:color w:val="000000" w:themeColor="text1"/>
          <w:kern w:val="2"/>
          <w:sz w:val="32"/>
          <w:szCs w:val="32"/>
          <w:lang w:eastAsia="zh-CN"/>
          <w14:textFill>
            <w14:solidFill>
              <w14:schemeClr w14:val="tx1"/>
            </w14:solidFill>
          </w14:textFill>
        </w:rPr>
        <w:t>；若已纳入，</w:t>
      </w:r>
      <w:r>
        <w:rPr>
          <w:rFonts w:ascii="Times New Roman" w:hAnsi="Times New Roman"/>
          <w:sz w:val="32"/>
          <w:szCs w:val="32"/>
        </w:rPr>
        <w:t>请</w:t>
      </w:r>
      <w:r>
        <w:rPr>
          <w:rFonts w:hint="eastAsia" w:ascii="Times New Roman" w:hAnsi="Times New Roman"/>
          <w:sz w:val="32"/>
          <w:szCs w:val="32"/>
          <w:lang w:eastAsia="zh-CN"/>
        </w:rPr>
        <w:t>按下表格式</w:t>
      </w:r>
      <w:r>
        <w:rPr>
          <w:rFonts w:hint="eastAsia" w:hAnsi="仿宋"/>
          <w:sz w:val="32"/>
          <w:szCs w:val="32"/>
        </w:rPr>
        <w:t>列表对本单位资产年报与部门决算报表（</w:t>
      </w:r>
      <w:r>
        <w:rPr>
          <w:rFonts w:hint="eastAsia" w:hAnsi="仿宋"/>
          <w:sz w:val="32"/>
          <w:szCs w:val="32"/>
          <w:highlight w:val="none"/>
          <w:lang w:eastAsia="zh-CN"/>
        </w:rPr>
        <w:t>财决</w:t>
      </w:r>
      <w:r>
        <w:rPr>
          <w:rFonts w:hint="eastAsia" w:hAnsi="仿宋"/>
          <w:sz w:val="32"/>
          <w:szCs w:val="32"/>
          <w:highlight w:val="none"/>
        </w:rPr>
        <w:t>附表</w:t>
      </w:r>
      <w:r>
        <w:rPr>
          <w:rFonts w:hAnsi="仿宋"/>
          <w:sz w:val="32"/>
          <w:szCs w:val="32"/>
          <w:highlight w:val="none"/>
        </w:rPr>
        <w:t>：</w:t>
      </w:r>
      <w:r>
        <w:rPr>
          <w:rFonts w:hint="default" w:ascii="Times New Roman" w:hAnsi="Times New Roman" w:cs="Times New Roman"/>
          <w:sz w:val="32"/>
          <w:szCs w:val="32"/>
          <w:highlight w:val="none"/>
          <w:lang w:val="en-US" w:eastAsia="zh-CN"/>
        </w:rPr>
        <w:t>01</w:t>
      </w:r>
      <w:r>
        <w:rPr>
          <w:rFonts w:hint="eastAsia" w:hAnsi="仿宋"/>
          <w:sz w:val="32"/>
          <w:szCs w:val="32"/>
          <w:highlight w:val="none"/>
        </w:rPr>
        <w:t>《预算支出</w:t>
      </w:r>
      <w:r>
        <w:rPr>
          <w:rFonts w:hAnsi="仿宋"/>
          <w:sz w:val="32"/>
          <w:szCs w:val="32"/>
          <w:highlight w:val="none"/>
        </w:rPr>
        <w:t>相关信息表》</w:t>
      </w:r>
      <w:r>
        <w:rPr>
          <w:rFonts w:hint="eastAsia" w:hAnsi="仿宋"/>
          <w:sz w:val="32"/>
          <w:szCs w:val="32"/>
          <w:highlight w:val="none"/>
          <w:lang w:eastAsia="zh-CN"/>
        </w:rPr>
        <w:t>、</w:t>
      </w:r>
      <w:r>
        <w:rPr>
          <w:rFonts w:hint="default" w:ascii="Times New Roman" w:hAnsi="Times New Roman" w:cs="Times New Roman"/>
          <w:sz w:val="32"/>
          <w:szCs w:val="32"/>
          <w:highlight w:val="none"/>
          <w:lang w:val="en-US" w:eastAsia="zh-CN"/>
        </w:rPr>
        <w:t>03</w:t>
      </w:r>
      <w:r>
        <w:rPr>
          <w:rFonts w:hint="eastAsia" w:hAnsi="仿宋"/>
          <w:sz w:val="32"/>
          <w:szCs w:val="32"/>
          <w:highlight w:val="none"/>
        </w:rPr>
        <w:t>《机构</w:t>
      </w:r>
      <w:r>
        <w:rPr>
          <w:rFonts w:hAnsi="仿宋"/>
          <w:sz w:val="32"/>
          <w:szCs w:val="32"/>
          <w:highlight w:val="none"/>
        </w:rPr>
        <w:t>运行信息表》</w:t>
      </w:r>
      <w:r>
        <w:rPr>
          <w:rFonts w:hAnsi="仿宋"/>
          <w:sz w:val="32"/>
          <w:szCs w:val="32"/>
        </w:rPr>
        <w:t>）中的</w:t>
      </w:r>
      <w:r>
        <w:rPr>
          <w:rFonts w:hint="eastAsia" w:hAnsi="Calibri"/>
          <w:color w:val="000000" w:themeColor="text1"/>
          <w:kern w:val="2"/>
          <w:sz w:val="32"/>
          <w:szCs w:val="32"/>
          <w14:textFill>
            <w14:solidFill>
              <w14:schemeClr w14:val="tx1"/>
            </w14:solidFill>
          </w14:textFill>
        </w:rPr>
        <w:t>房屋、车辆、单</w:t>
      </w:r>
      <w:r>
        <w:rPr>
          <w:rFonts w:ascii="Times New Roman" w:hAnsi="Times New Roman"/>
          <w:color w:val="000000" w:themeColor="text1"/>
          <w:kern w:val="2"/>
          <w:sz w:val="32"/>
          <w:szCs w:val="32"/>
          <w14:textFill>
            <w14:solidFill>
              <w14:schemeClr w14:val="tx1"/>
            </w14:solidFill>
          </w14:textFill>
        </w:rPr>
        <w:t>价100</w:t>
      </w:r>
      <w:r>
        <w:rPr>
          <w:rFonts w:hint="eastAsia" w:hAnsi="Calibri"/>
          <w:color w:val="000000" w:themeColor="text1"/>
          <w:kern w:val="2"/>
          <w:sz w:val="32"/>
          <w:szCs w:val="32"/>
          <w14:textFill>
            <w14:solidFill>
              <w14:schemeClr w14:val="tx1"/>
            </w14:solidFill>
          </w14:textFill>
        </w:rPr>
        <w:t>万元（含）以上设备（不含车辆）</w:t>
      </w:r>
      <w:r>
        <w:rPr>
          <w:rFonts w:hAnsi="仿宋"/>
          <w:sz w:val="32"/>
          <w:szCs w:val="32"/>
        </w:rPr>
        <w:t>等重要资产</w:t>
      </w:r>
      <w:r>
        <w:rPr>
          <w:rFonts w:hint="eastAsia" w:hAnsi="仿宋"/>
          <w:sz w:val="32"/>
          <w:szCs w:val="32"/>
        </w:rPr>
        <w:t>数据进行对比</w:t>
      </w:r>
      <w:r>
        <w:rPr>
          <w:rFonts w:hAnsi="仿宋"/>
          <w:sz w:val="32"/>
          <w:szCs w:val="32"/>
        </w:rPr>
        <w:t>，如存在差异，请</w:t>
      </w:r>
      <w:r>
        <w:rPr>
          <w:rFonts w:hint="eastAsia" w:hAnsi="仿宋"/>
          <w:sz w:val="32"/>
          <w:szCs w:val="32"/>
        </w:rPr>
        <w:t>详细分析差异产生的</w:t>
      </w:r>
      <w:bookmarkStart w:id="0" w:name="_GoBack"/>
      <w:bookmarkEnd w:id="0"/>
      <w:r>
        <w:rPr>
          <w:rFonts w:hint="eastAsia" w:hAnsi="仿宋"/>
          <w:sz w:val="32"/>
          <w:szCs w:val="32"/>
          <w:lang w:eastAsia="zh-CN"/>
        </w:rPr>
        <w:t>合理</w:t>
      </w:r>
      <w:r>
        <w:rPr>
          <w:rFonts w:hint="eastAsia" w:hAnsi="仿宋"/>
          <w:sz w:val="32"/>
          <w:szCs w:val="32"/>
        </w:rPr>
        <w:t>原因。</w:t>
      </w:r>
    </w:p>
    <w:tbl>
      <w:tblPr>
        <w:tblStyle w:val="9"/>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126"/>
        <w:gridCol w:w="1276"/>
        <w:gridCol w:w="1276"/>
        <w:gridCol w:w="1276"/>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28"/>
                <w:szCs w:val="28"/>
              </w:rPr>
            </w:pPr>
            <w:r>
              <w:rPr>
                <w:rFonts w:hint="eastAsia" w:hAnsi="仿宋"/>
                <w:sz w:val="28"/>
                <w:szCs w:val="28"/>
              </w:rPr>
              <w:t>序号</w:t>
            </w:r>
          </w:p>
        </w:tc>
        <w:tc>
          <w:tcPr>
            <w:tcW w:w="2126"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28"/>
                <w:szCs w:val="28"/>
              </w:rPr>
            </w:pPr>
            <w:r>
              <w:rPr>
                <w:rFonts w:hint="eastAsia" w:hAnsi="仿宋"/>
                <w:sz w:val="28"/>
                <w:szCs w:val="28"/>
              </w:rPr>
              <w:t>对比指标</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Cs w:val="28"/>
              </w:rPr>
            </w:pPr>
            <w:r>
              <w:rPr>
                <w:rFonts w:hint="eastAsia" w:hAnsi="仿宋"/>
                <w:szCs w:val="28"/>
              </w:rPr>
              <w:t>资产</w:t>
            </w:r>
            <w:r>
              <w:rPr>
                <w:rFonts w:hAnsi="仿宋"/>
                <w:szCs w:val="28"/>
              </w:rPr>
              <w:t>年</w:t>
            </w:r>
            <w:r>
              <w:rPr>
                <w:rFonts w:hint="eastAsia" w:hAnsi="仿宋"/>
                <w:szCs w:val="28"/>
              </w:rPr>
              <w:t>报</w:t>
            </w:r>
            <w:r>
              <w:rPr>
                <w:rFonts w:hAnsi="仿宋"/>
                <w:szCs w:val="28"/>
              </w:rPr>
              <w:t>数</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Cs w:val="28"/>
              </w:rPr>
            </w:pPr>
            <w:r>
              <w:rPr>
                <w:rFonts w:hint="eastAsia" w:hAnsi="仿宋"/>
                <w:szCs w:val="28"/>
              </w:rPr>
              <w:t>部门</w:t>
            </w:r>
            <w:r>
              <w:rPr>
                <w:rFonts w:hAnsi="仿宋"/>
                <w:szCs w:val="28"/>
              </w:rPr>
              <w:t>决算</w:t>
            </w:r>
            <w:r>
              <w:rPr>
                <w:rFonts w:hint="eastAsia" w:hAnsi="仿宋"/>
                <w:szCs w:val="28"/>
              </w:rPr>
              <w:t>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户数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Ansi="仿宋"/>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28"/>
                <w:szCs w:val="28"/>
              </w:rPr>
            </w:pPr>
          </w:p>
        </w:tc>
        <w:tc>
          <w:tcPr>
            <w:tcW w:w="2126"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28"/>
                <w:szCs w:val="28"/>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32"/>
                <w:szCs w:val="32"/>
              </w:rPr>
            </w:pP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1</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 w:val="28"/>
                <w:szCs w:val="28"/>
              </w:rPr>
            </w:pPr>
            <w:r>
              <w:rPr>
                <w:rFonts w:hint="eastAsia" w:hAnsi="仿宋"/>
                <w:sz w:val="28"/>
                <w:szCs w:val="28"/>
              </w:rPr>
              <w:t>房屋（平方米</w:t>
            </w:r>
            <w:r>
              <w:rPr>
                <w:rFonts w:hAnsi="仿宋"/>
                <w:sz w:val="28"/>
                <w:szCs w:val="28"/>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 w:val="28"/>
                <w:szCs w:val="28"/>
              </w:rPr>
            </w:pPr>
            <w:r>
              <w:rPr>
                <w:rFonts w:hint="eastAsia" w:hAnsi="仿宋"/>
                <w:sz w:val="28"/>
                <w:szCs w:val="28"/>
              </w:rPr>
              <w:t>车辆（台</w:t>
            </w:r>
            <w:r>
              <w:rPr>
                <w:rFonts w:hAnsi="仿宋"/>
                <w:sz w:val="28"/>
                <w:szCs w:val="28"/>
              </w:rPr>
              <w:t>、辆）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3</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textAlignment w:val="auto"/>
              <w:rPr>
                <w:rFonts w:hAnsi="仿宋"/>
                <w:sz w:val="28"/>
                <w:szCs w:val="28"/>
              </w:rPr>
            </w:pPr>
            <w:r>
              <w:rPr>
                <w:rFonts w:hint="eastAsia" w:hAnsi="Calibri"/>
                <w:color w:val="000000" w:themeColor="text1"/>
                <w:kern w:val="2"/>
                <w:sz w:val="28"/>
                <w:szCs w:val="28"/>
                <w14:textFill>
                  <w14:solidFill>
                    <w14:schemeClr w14:val="tx1"/>
                  </w14:solidFill>
                </w14:textFill>
              </w:rPr>
              <w:t>单</w:t>
            </w:r>
            <w:r>
              <w:rPr>
                <w:rFonts w:ascii="Times New Roman" w:hAnsi="Times New Roman"/>
                <w:color w:val="000000" w:themeColor="text1"/>
                <w:kern w:val="2"/>
                <w:sz w:val="28"/>
                <w:szCs w:val="28"/>
                <w14:textFill>
                  <w14:solidFill>
                    <w14:schemeClr w14:val="tx1"/>
                  </w14:solidFill>
                </w14:textFill>
              </w:rPr>
              <w:t>价100</w:t>
            </w:r>
            <w:r>
              <w:rPr>
                <w:rFonts w:hint="eastAsia" w:hAnsi="Calibri"/>
                <w:color w:val="000000" w:themeColor="text1"/>
                <w:kern w:val="2"/>
                <w:sz w:val="28"/>
                <w:szCs w:val="28"/>
                <w14:textFill>
                  <w14:solidFill>
                    <w14:schemeClr w14:val="tx1"/>
                  </w14:solidFill>
                </w14:textFill>
              </w:rPr>
              <w:t>万元（含）以上设备（不含车辆）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s="Times New Roman"/>
          <w:kern w:val="0"/>
          <w:sz w:val="32"/>
          <w:szCs w:val="32"/>
          <w:lang w:val="en-US" w:eastAsia="zh-CN" w:bidi="ar-SA"/>
        </w:rPr>
      </w:pPr>
      <w:r>
        <w:rPr>
          <w:rFonts w:hint="eastAsia" w:ascii="Times New Roman" w:hAnsi="Times New Roman"/>
          <w:sz w:val="32"/>
          <w:szCs w:val="32"/>
          <w:lang w:val="en-US" w:eastAsia="zh-CN"/>
        </w:rPr>
        <w:t>6.</w:t>
      </w:r>
      <w:r>
        <w:rPr>
          <w:rFonts w:hint="eastAsia" w:ascii="仿宋_GB2312" w:hAnsi="仿宋" w:eastAsia="仿宋_GB2312" w:cs="Times New Roman"/>
          <w:kern w:val="0"/>
          <w:sz w:val="32"/>
          <w:szCs w:val="32"/>
          <w:lang w:val="en-US" w:eastAsia="zh-CN" w:bidi="ar-SA"/>
        </w:rPr>
        <w:t>公共基础设施等行政事业性国有资产增长变化情况。本单位公共基础设施（包括交通、水利、市政、其他公共基础设施）、政府储备物资、保障性住房、文物文化资产与上年变化情况分析，变化差异较大的说明原因。</w:t>
      </w:r>
    </w:p>
    <w:tbl>
      <w:tblPr>
        <w:tblStyle w:val="9"/>
        <w:tblW w:w="923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475"/>
        <w:gridCol w:w="1327"/>
        <w:gridCol w:w="1470"/>
        <w:gridCol w:w="153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对比数据（原值）</w:t>
            </w:r>
          </w:p>
        </w:tc>
        <w:tc>
          <w:tcPr>
            <w:tcW w:w="132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2024年</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期末数</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（万元）</w:t>
            </w:r>
          </w:p>
        </w:tc>
        <w:tc>
          <w:tcPr>
            <w:tcW w:w="1470"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2023年</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期末数</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（万元）</w:t>
            </w:r>
          </w:p>
        </w:tc>
        <w:tc>
          <w:tcPr>
            <w:tcW w:w="153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增减</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比率</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变动原因说明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32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470"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53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28"/>
                <w:szCs w:val="28"/>
                <w:vertAlign w:val="baseline"/>
                <w:lang w:val="en-US" w:eastAsia="zh-CN"/>
              </w:rPr>
              <w:t>4=（2-3）/3</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32"/>
                <w:szCs w:val="32"/>
                <w:lang w:val="en-US" w:eastAsia="zh-CN"/>
              </w:rPr>
              <w:t>公共基础设施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2</w:t>
            </w:r>
          </w:p>
        </w:tc>
        <w:tc>
          <w:tcPr>
            <w:tcW w:w="2475" w:type="dxa"/>
          </w:tcPr>
          <w:p>
            <w:pPr>
              <w:pStyle w:val="3"/>
              <w:spacing w:line="600" w:lineRule="exac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其中：</w:t>
            </w:r>
            <w:r>
              <w:rPr>
                <w:rFonts w:hint="eastAsia" w:ascii="仿宋_GB2312" w:hAnsi="仿宋_GB2312" w:eastAsia="仿宋_GB2312" w:cs="仿宋_GB2312"/>
                <w:b w:val="0"/>
                <w:bCs w:val="0"/>
                <w:sz w:val="24"/>
                <w:szCs w:val="24"/>
                <w:lang w:val="en-US" w:eastAsia="zh-CN"/>
              </w:rPr>
              <w:t>市政基础设施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3</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交通基础设施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4</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水利基础设施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5</w:t>
            </w:r>
          </w:p>
        </w:tc>
        <w:tc>
          <w:tcPr>
            <w:tcW w:w="2475" w:type="dxa"/>
          </w:tcPr>
          <w:p>
            <w:pPr>
              <w:pStyle w:val="3"/>
              <w:keepNext w:val="0"/>
              <w:keepLines w:val="0"/>
              <w:pageBreakBefore w:val="0"/>
              <w:widowControl/>
              <w:kinsoku/>
              <w:wordWrap/>
              <w:overflowPunct/>
              <w:topLinePunct w:val="0"/>
              <w:autoSpaceDE/>
              <w:autoSpaceDN/>
              <w:bidi w:val="0"/>
              <w:adjustRightInd w:val="0"/>
              <w:snapToGrid w:val="0"/>
              <w:spacing w:line="400" w:lineRule="exact"/>
              <w:ind w:left="718" w:leftChars="342" w:firstLine="0" w:firstLineChars="0"/>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其他公共基础设施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6</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政府储备物资</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7</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保障性住房</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8</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文物文化资产</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bl>
    <w:p>
      <w:pPr>
        <w:pStyle w:val="3"/>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楷体_GB2312" w:hAnsi="黑体" w:eastAsia="楷体_GB2312" w:cs="黑体"/>
          <w:b/>
          <w:sz w:val="32"/>
          <w:szCs w:val="32"/>
        </w:rPr>
      </w:pPr>
      <w:r>
        <w:rPr>
          <w:rFonts w:hint="eastAsia" w:ascii="楷体_GB2312" w:hAnsi="黑体" w:eastAsia="楷体_GB2312" w:cs="黑体"/>
          <w:b/>
          <w:sz w:val="32"/>
          <w:szCs w:val="32"/>
        </w:rPr>
        <w:t>（二）对报表指标、审核公式和分析表的设置建议。</w:t>
      </w:r>
    </w:p>
    <w:p>
      <w:pPr>
        <w:pStyle w:val="3"/>
        <w:spacing w:line="600" w:lineRule="exact"/>
        <w:ind w:firstLine="640"/>
        <w:rPr>
          <w:rFonts w:hint="default" w:ascii="Times New Roman" w:hAnsi="Times New Roman" w:cs="Times New Roman"/>
          <w:sz w:val="32"/>
          <w:szCs w:val="32"/>
        </w:rPr>
      </w:pPr>
      <w:r>
        <w:rPr>
          <w:rFonts w:hint="default" w:ascii="Times New Roman" w:hAnsi="Times New Roman" w:cs="Times New Roman"/>
          <w:sz w:val="32"/>
          <w:szCs w:val="32"/>
        </w:rPr>
        <w:t>1.对报表指标设置的建议。</w:t>
      </w:r>
    </w:p>
    <w:p>
      <w:pPr>
        <w:pStyle w:val="3"/>
        <w:spacing w:line="600" w:lineRule="exact"/>
        <w:ind w:firstLine="640"/>
        <w:rPr>
          <w:rFonts w:hAnsi="仿宋"/>
          <w:sz w:val="32"/>
          <w:szCs w:val="32"/>
        </w:rPr>
      </w:pPr>
      <w:r>
        <w:rPr>
          <w:rFonts w:hint="default" w:ascii="Times New Roman" w:hAnsi="Times New Roman" w:cs="Times New Roman"/>
          <w:sz w:val="32"/>
          <w:szCs w:val="32"/>
        </w:rPr>
        <w:t>2.如</w:t>
      </w:r>
      <w:r>
        <w:rPr>
          <w:rFonts w:hint="eastAsia" w:hAnsi="仿宋"/>
          <w:sz w:val="32"/>
          <w:szCs w:val="32"/>
        </w:rPr>
        <w:t>有不适用的审核公式，请列出并说明修改意见。</w:t>
      </w:r>
    </w:p>
    <w:p>
      <w:pPr>
        <w:pStyle w:val="3"/>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sz w:val="32"/>
          <w:szCs w:val="32"/>
        </w:rPr>
        <w:t>其他说明情况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楷体" w:eastAsia="仿宋_GB2312"/>
          <w:color w:val="000000" w:themeColor="text1"/>
          <w:kern w:val="0"/>
          <w:sz w:val="32"/>
          <w:szCs w:val="32"/>
          <w:highlight w:val="none"/>
          <w14:textFill>
            <w14:solidFill>
              <w14:schemeClr w14:val="tx1"/>
            </w14:solidFill>
          </w14:textFill>
        </w:rPr>
        <w:t>（一）</w:t>
      </w:r>
      <w:r>
        <w:rPr>
          <w:rFonts w:hint="eastAsia" w:ascii="仿宋_GB2312" w:eastAsia="仿宋_GB2312"/>
          <w:color w:val="000000" w:themeColor="text1"/>
          <w:sz w:val="32"/>
          <w:szCs w:val="32"/>
          <w:highlight w:val="none"/>
          <w14:textFill>
            <w14:solidFill>
              <w14:schemeClr w14:val="tx1"/>
            </w14:solidFill>
          </w14:textFill>
        </w:rPr>
        <w:t>对本</w:t>
      </w:r>
      <w:r>
        <w:rPr>
          <w:rFonts w:hint="eastAsia" w:ascii="仿宋_GB2312" w:eastAsia="仿宋_GB2312"/>
          <w:color w:val="000000" w:themeColor="text1"/>
          <w:sz w:val="32"/>
          <w:szCs w:val="32"/>
          <w:highlight w:val="none"/>
          <w:lang w:eastAsia="zh-CN"/>
          <w14:textFill>
            <w14:solidFill>
              <w14:schemeClr w14:val="tx1"/>
            </w14:solidFill>
          </w14:textFill>
        </w:rPr>
        <w:t>单位资</w:t>
      </w:r>
      <w:r>
        <w:rPr>
          <w:rFonts w:hint="eastAsia" w:ascii="仿宋_GB2312" w:eastAsia="仿宋_GB2312"/>
          <w:color w:val="000000" w:themeColor="text1"/>
          <w:sz w:val="32"/>
          <w:szCs w:val="32"/>
          <w:highlight w:val="none"/>
          <w14:textFill>
            <w14:solidFill>
              <w14:schemeClr w14:val="tx1"/>
            </w14:solidFill>
          </w14:textFill>
        </w:rPr>
        <w:t>产损失、权属</w:t>
      </w:r>
      <w:r>
        <w:rPr>
          <w:rFonts w:ascii="仿宋_GB2312" w:eastAsia="仿宋_GB2312"/>
          <w:color w:val="000000" w:themeColor="text1"/>
          <w:sz w:val="32"/>
          <w:szCs w:val="32"/>
          <w:highlight w:val="none"/>
          <w14:textFill>
            <w14:solidFill>
              <w14:schemeClr w14:val="tx1"/>
            </w14:solidFill>
          </w14:textFill>
        </w:rPr>
        <w:t>不清晰</w:t>
      </w:r>
      <w:r>
        <w:rPr>
          <w:rFonts w:hint="eastAsia" w:ascii="仿宋_GB2312" w:eastAsia="仿宋_GB2312"/>
          <w:color w:val="000000" w:themeColor="text1"/>
          <w:sz w:val="32"/>
          <w:szCs w:val="32"/>
          <w:highlight w:val="none"/>
          <w14:textFill>
            <w14:solidFill>
              <w14:schemeClr w14:val="tx1"/>
            </w14:solidFill>
          </w14:textFill>
        </w:rPr>
        <w:t>等重要</w:t>
      </w:r>
      <w:r>
        <w:rPr>
          <w:rFonts w:ascii="仿宋_GB2312" w:eastAsia="仿宋_GB2312"/>
          <w:color w:val="000000" w:themeColor="text1"/>
          <w:sz w:val="32"/>
          <w:szCs w:val="32"/>
          <w:highlight w:val="none"/>
          <w14:textFill>
            <w14:solidFill>
              <w14:schemeClr w14:val="tx1"/>
            </w14:solidFill>
          </w14:textFill>
        </w:rPr>
        <w:t>资产情况</w:t>
      </w:r>
      <w:r>
        <w:rPr>
          <w:rFonts w:hint="eastAsia" w:ascii="仿宋_GB2312" w:eastAsia="仿宋_GB2312"/>
          <w:color w:val="000000" w:themeColor="text1"/>
          <w:sz w:val="32"/>
          <w:szCs w:val="32"/>
          <w:highlight w:val="none"/>
          <w14:textFill>
            <w14:solidFill>
              <w14:schemeClr w14:val="tx1"/>
            </w14:solidFill>
          </w14:textFill>
        </w:rPr>
        <w:t>以及其他重要事项进行详细分析说明。</w:t>
      </w:r>
    </w:p>
    <w:p>
      <w:pPr>
        <w:keepNext w:val="0"/>
        <w:keepLines w:val="0"/>
        <w:pageBreakBefore w:val="0"/>
        <w:kinsoku/>
        <w:wordWrap/>
        <w:overflowPunct/>
        <w:topLinePunct w:val="0"/>
        <w:autoSpaceDE/>
        <w:autoSpaceDN/>
        <w:bidi w:val="0"/>
        <w:spacing w:line="600" w:lineRule="exact"/>
        <w:ind w:firstLine="640" w:firstLineChars="200"/>
        <w:textAlignment w:val="auto"/>
        <w:rPr>
          <w:color w:val="000000" w:themeColor="text1"/>
          <w:sz w:val="32"/>
          <w:szCs w:val="32"/>
          <w14:textFill>
            <w14:solidFill>
              <w14:schemeClr w14:val="tx1"/>
            </w14:solidFill>
          </w14:textFill>
        </w:rPr>
      </w:pPr>
      <w:r>
        <w:rPr>
          <w:rFonts w:hint="eastAsia" w:ascii="仿宋_GB2312" w:hAnsi="楷体" w:eastAsia="仿宋_GB2312"/>
          <w:color w:val="000000" w:themeColor="text1"/>
          <w:kern w:val="0"/>
          <w:sz w:val="32"/>
          <w:szCs w:val="32"/>
          <w14:textFill>
            <w14:solidFill>
              <w14:schemeClr w14:val="tx1"/>
            </w14:solidFill>
          </w14:textFill>
        </w:rPr>
        <w:t>（二）</w:t>
      </w:r>
      <w:r>
        <w:rPr>
          <w:rFonts w:hint="eastAsia" w:ascii="仿宋_GB2312" w:eastAsia="仿宋_GB2312"/>
          <w:color w:val="000000" w:themeColor="text1"/>
          <w:sz w:val="32"/>
          <w:szCs w:val="32"/>
          <w:highlight w:val="none"/>
          <w14:textFill>
            <w14:solidFill>
              <w14:schemeClr w14:val="tx1"/>
            </w14:solidFill>
          </w14:textFill>
        </w:rPr>
        <w:t>本</w:t>
      </w:r>
      <w:r>
        <w:rPr>
          <w:rFonts w:hint="eastAsia" w:ascii="仿宋_GB2312" w:eastAsia="仿宋_GB2312"/>
          <w:color w:val="000000" w:themeColor="text1"/>
          <w:sz w:val="32"/>
          <w:szCs w:val="32"/>
          <w:highlight w:val="none"/>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公共基础设施</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政府储备物资、文物文化资产、保障性住房数据与行业统计数据</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对比情况，如不一致应说明差异原因。</w:t>
      </w: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华文中宋"/>
          <w:sz w:val="36"/>
          <w:szCs w:val="36"/>
        </w:rPr>
        <w:sectPr>
          <w:footerReference r:id="rId3" w:type="default"/>
          <w:pgSz w:w="11906" w:h="16838"/>
          <w:pgMar w:top="1440" w:right="1576" w:bottom="1440" w:left="1576" w:header="851" w:footer="992" w:gutter="0"/>
          <w:cols w:space="720" w:num="1"/>
          <w:docGrid w:type="lines" w:linePitch="312" w:charSpace="0"/>
        </w:sectPr>
      </w:pPr>
    </w:p>
    <w:p>
      <w:pPr>
        <w:spacing w:line="600" w:lineRule="exact"/>
        <w:jc w:val="center"/>
        <w:rPr>
          <w:rFonts w:ascii="华文中宋" w:hAnsi="华文中宋" w:eastAsia="华文中宋" w:cs="华文中宋"/>
          <w:sz w:val="36"/>
          <w:szCs w:val="36"/>
        </w:rPr>
      </w:pPr>
      <w:r>
        <w:rPr>
          <w:rFonts w:hint="eastAsia" w:ascii="Times New Roman" w:hAnsi="Times New Roman" w:eastAsia="华文中宋"/>
          <w:sz w:val="36"/>
          <w:szCs w:val="36"/>
          <w:lang w:eastAsia="zh-CN"/>
        </w:rPr>
        <w:t>2024</w:t>
      </w:r>
      <w:r>
        <w:rPr>
          <w:rFonts w:ascii="Times New Roman" w:hAnsi="Times New Roman" w:eastAsia="华文中宋"/>
          <w:sz w:val="36"/>
          <w:szCs w:val="36"/>
        </w:rPr>
        <w:t>年</w:t>
      </w:r>
      <w:r>
        <w:rPr>
          <w:rFonts w:hint="eastAsia" w:ascii="华文中宋" w:hAnsi="华文中宋" w:eastAsia="华文中宋" w:cs="华文中宋"/>
          <w:sz w:val="36"/>
          <w:szCs w:val="36"/>
        </w:rPr>
        <w:t>度行政事业性国有资产报</w:t>
      </w:r>
      <w:r>
        <w:rPr>
          <w:rFonts w:hint="eastAsia" w:ascii="华文中宋" w:hAnsi="华文中宋" w:eastAsia="华文中宋" w:cs="华文中宋"/>
          <w:sz w:val="36"/>
          <w:szCs w:val="36"/>
          <w:lang w:eastAsia="zh-CN"/>
        </w:rPr>
        <w:t>告</w:t>
      </w:r>
      <w:r>
        <w:rPr>
          <w:rFonts w:hint="eastAsia" w:ascii="华文中宋" w:hAnsi="华文中宋" w:eastAsia="华文中宋" w:cs="华文中宋"/>
          <w:sz w:val="36"/>
          <w:szCs w:val="36"/>
        </w:rPr>
        <w:t>填报说明提纲</w:t>
      </w:r>
    </w:p>
    <w:p>
      <w:pPr>
        <w:spacing w:line="600" w:lineRule="exact"/>
        <w:jc w:val="center"/>
        <w:rPr>
          <w:rFonts w:ascii="仿宋_GB2312" w:hAnsi="楷体" w:eastAsia="仿宋_GB2312" w:cs="楷体"/>
          <w:sz w:val="32"/>
          <w:szCs w:val="32"/>
        </w:rPr>
      </w:pPr>
      <w:r>
        <w:rPr>
          <w:rFonts w:hint="eastAsia" w:ascii="仿宋_GB2312" w:hAnsi="楷体" w:eastAsia="仿宋_GB2312" w:cs="楷体"/>
          <w:sz w:val="32"/>
          <w:szCs w:val="32"/>
        </w:rPr>
        <w:t>（各区财政局/主管部门参考格式）</w:t>
      </w:r>
    </w:p>
    <w:p>
      <w:pPr>
        <w:spacing w:line="600" w:lineRule="exact"/>
        <w:jc w:val="center"/>
        <w:rPr>
          <w:rFonts w:ascii="仿宋_GB2312" w:hAnsi="楷体" w:eastAsia="仿宋_GB2312" w:cs="楷体"/>
          <w:sz w:val="32"/>
          <w:szCs w:val="32"/>
        </w:rPr>
      </w:pPr>
    </w:p>
    <w:p>
      <w:pPr>
        <w:pStyle w:val="3"/>
        <w:spacing w:line="600" w:lineRule="exact"/>
        <w:ind w:left="640"/>
        <w:rPr>
          <w:rFonts w:ascii="黑体" w:hAnsi="黑体" w:eastAsia="黑体" w:cs="仿宋"/>
          <w:bCs/>
          <w:sz w:val="32"/>
          <w:szCs w:val="32"/>
        </w:rPr>
      </w:pPr>
      <w:r>
        <w:rPr>
          <w:rFonts w:hint="eastAsia" w:ascii="黑体" w:hAnsi="黑体" w:eastAsia="黑体" w:cs="仿宋"/>
          <w:bCs/>
          <w:sz w:val="32"/>
          <w:szCs w:val="32"/>
        </w:rPr>
        <w:t>一、数据填报口径</w:t>
      </w:r>
    </w:p>
    <w:p>
      <w:pPr>
        <w:pStyle w:val="3"/>
        <w:spacing w:line="360" w:lineRule="auto"/>
        <w:ind w:firstLine="640"/>
        <w:rPr>
          <w:rFonts w:ascii="Times New Roman" w:hAnsi="Times New Roman"/>
          <w:sz w:val="32"/>
          <w:szCs w:val="32"/>
        </w:rPr>
      </w:pPr>
      <w:r>
        <w:rPr>
          <w:rFonts w:hint="eastAsia" w:hAnsi="仿宋"/>
          <w:sz w:val="32"/>
          <w:szCs w:val="32"/>
        </w:rPr>
        <w:t>本部门、本地区应纳入</w:t>
      </w:r>
      <w:r>
        <w:rPr>
          <w:rFonts w:hint="eastAsia" w:ascii="Times New Roman" w:hAnsi="Times New Roman"/>
          <w:sz w:val="32"/>
          <w:szCs w:val="32"/>
          <w:lang w:eastAsia="zh-CN"/>
        </w:rPr>
        <w:t>202</w:t>
      </w:r>
      <w:r>
        <w:rPr>
          <w:rFonts w:hint="eastAsia" w:ascii="Times New Roman" w:hAnsi="Times New Roman"/>
          <w:sz w:val="32"/>
          <w:szCs w:val="32"/>
          <w:lang w:val="en-US" w:eastAsia="zh-CN"/>
        </w:rPr>
        <w:t>4</w:t>
      </w:r>
      <w:r>
        <w:rPr>
          <w:rFonts w:hint="eastAsia" w:hAnsi="仿宋"/>
          <w:sz w:val="32"/>
          <w:szCs w:val="32"/>
        </w:rPr>
        <w:t>年度行政事业性国有资产报表（以下简称资产报表）填报范围的行政事业单位</w:t>
      </w:r>
      <w:r>
        <w:rPr>
          <w:rFonts w:ascii="Times New Roman" w:hAnsi="Times New Roman"/>
          <w:sz w:val="32"/>
          <w:szCs w:val="32"/>
        </w:rPr>
        <w:t>共XX个，实际上报单位XX个。说明未上报单位原因。</w:t>
      </w:r>
    </w:p>
    <w:p>
      <w:pPr>
        <w:pStyle w:val="3"/>
        <w:spacing w:line="600" w:lineRule="exact"/>
        <w:ind w:left="640"/>
        <w:rPr>
          <w:rFonts w:ascii="黑体" w:hAnsi="黑体" w:eastAsia="黑体" w:cs="仿宋"/>
          <w:bCs/>
          <w:sz w:val="32"/>
          <w:szCs w:val="32"/>
        </w:rPr>
      </w:pPr>
      <w:r>
        <w:rPr>
          <w:rFonts w:hint="eastAsia" w:ascii="黑体" w:hAnsi="黑体" w:eastAsia="黑体" w:cs="仿宋"/>
          <w:bCs/>
          <w:sz w:val="32"/>
          <w:szCs w:val="32"/>
        </w:rPr>
        <w:t>二、数据审核情况</w:t>
      </w:r>
    </w:p>
    <w:p>
      <w:pPr>
        <w:pStyle w:val="3"/>
        <w:spacing w:line="600" w:lineRule="exact"/>
        <w:ind w:firstLine="472" w:firstLineChars="147"/>
        <w:rPr>
          <w:rFonts w:ascii="楷体_GB2312" w:hAnsi="仿宋" w:eastAsia="楷体_GB2312" w:cs="仿宋"/>
          <w:b/>
          <w:sz w:val="32"/>
          <w:szCs w:val="32"/>
        </w:rPr>
      </w:pPr>
      <w:r>
        <w:rPr>
          <w:rFonts w:hint="eastAsia" w:ascii="楷体_GB2312" w:hAnsi="仿宋" w:eastAsia="楷体_GB2312" w:cs="仿宋"/>
          <w:b/>
          <w:sz w:val="32"/>
          <w:szCs w:val="32"/>
        </w:rPr>
        <w:t>（一）审核情况</w:t>
      </w:r>
    </w:p>
    <w:p>
      <w:pPr>
        <w:pStyle w:val="3"/>
        <w:spacing w:line="600" w:lineRule="exact"/>
        <w:ind w:firstLine="640"/>
        <w:rPr>
          <w:rFonts w:ascii="Times New Roman" w:hAnsi="Times New Roman"/>
          <w:sz w:val="32"/>
          <w:szCs w:val="32"/>
        </w:rPr>
      </w:pPr>
      <w:r>
        <w:rPr>
          <w:rFonts w:ascii="Times New Roman" w:hAnsi="Times New Roman"/>
          <w:sz w:val="32"/>
          <w:szCs w:val="32"/>
        </w:rPr>
        <w:t>1.核实性审核。本部门、本地区全表审核后核实性问题提示共XX类，共计XX条，涉及XX个单位，列表说明主要原因。</w:t>
      </w:r>
    </w:p>
    <w:p>
      <w:pPr>
        <w:pStyle w:val="3"/>
        <w:spacing w:line="600" w:lineRule="exact"/>
        <w:ind w:firstLine="640"/>
        <w:rPr>
          <w:rFonts w:ascii="Times New Roman" w:hAnsi="Times New Roman"/>
          <w:sz w:val="32"/>
          <w:szCs w:val="32"/>
        </w:rPr>
      </w:pPr>
      <w:r>
        <w:rPr>
          <w:rFonts w:ascii="Times New Roman" w:hAnsi="Times New Roman"/>
          <w:sz w:val="32"/>
          <w:szCs w:val="32"/>
        </w:rPr>
        <w:t>2.基础数据审核。本部门、本地区资产数据与上年对比，增减超过20%且≥±100万元的，说明主要原因。</w:t>
      </w:r>
    </w:p>
    <w:p>
      <w:pPr>
        <w:pStyle w:val="3"/>
        <w:spacing w:line="600" w:lineRule="exact"/>
        <w:ind w:firstLine="640"/>
        <w:rPr>
          <w:rFonts w:hint="eastAsia" w:ascii="Times New Roman" w:hAnsi="Times New Roman"/>
          <w:sz w:val="32"/>
          <w:szCs w:val="32"/>
          <w:lang w:val="en-US" w:eastAsia="zh-CN"/>
        </w:rPr>
      </w:pPr>
      <w:r>
        <w:rPr>
          <w:rFonts w:ascii="Times New Roman" w:hAnsi="Times New Roman"/>
          <w:sz w:val="32"/>
          <w:szCs w:val="32"/>
        </w:rPr>
        <w:t>3.</w:t>
      </w:r>
      <w:r>
        <w:rPr>
          <w:rFonts w:hint="eastAsia" w:ascii="Times New Roman" w:hAnsi="Times New Roman"/>
          <w:sz w:val="32"/>
          <w:szCs w:val="32"/>
          <w:lang w:eastAsia="zh-CN"/>
        </w:rPr>
        <w:t>与</w:t>
      </w:r>
      <w:r>
        <w:rPr>
          <w:rFonts w:hint="eastAsia" w:ascii="Times New Roman" w:hAnsi="Times New Roman"/>
          <w:sz w:val="32"/>
          <w:szCs w:val="32"/>
          <w:lang w:val="en-US" w:eastAsia="zh-CN"/>
        </w:rPr>
        <w:t>2024年12月资产月报对比审核。本部门、本地区资产年报中的资产合计与资产月报中的资产合计是否一致，若差异比率绝对值超过0.1%，请说明存在差异的主要原因。</w:t>
      </w:r>
    </w:p>
    <w:tbl>
      <w:tblPr>
        <w:tblStyle w:val="9"/>
        <w:tblW w:w="907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564"/>
        <w:gridCol w:w="1618"/>
        <w:gridCol w:w="1618"/>
        <w:gridCol w:w="161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资产年报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资产月报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差异比率</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28"/>
                <w:szCs w:val="28"/>
                <w:vertAlign w:val="baseline"/>
                <w:lang w:val="en-US" w:eastAsia="zh-CN"/>
              </w:rPr>
              <w:t>4=（2-3）/2</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1564" w:type="dxa"/>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资产合计期末数（万元）</w:t>
            </w: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r>
    </w:tbl>
    <w:p>
      <w:pPr>
        <w:pStyle w:val="3"/>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sz w:val="32"/>
          <w:szCs w:val="32"/>
        </w:rPr>
      </w:pPr>
      <w:r>
        <w:rPr>
          <w:rFonts w:hint="eastAsia" w:ascii="Times New Roman" w:hAnsi="Times New Roman"/>
          <w:sz w:val="32"/>
          <w:szCs w:val="32"/>
          <w:lang w:val="en-US" w:eastAsia="zh-CN"/>
        </w:rPr>
        <w:t>4</w:t>
      </w:r>
      <w:r>
        <w:rPr>
          <w:rFonts w:ascii="Times New Roman" w:hAnsi="Times New Roman"/>
          <w:sz w:val="32"/>
          <w:szCs w:val="32"/>
        </w:rPr>
        <w:t>.与政府部门财务报告对比审核。本部门、本地区报送资产报表的单位中，有XX个单位未纳入政府部门财务报告填报范围；纳入本地区、本部门政府部门财务报告的行政事业单位（不含企业化管理事业单位）有XX个未报送资产报表，说明主要原因。</w:t>
      </w:r>
    </w:p>
    <w:p>
      <w:pPr>
        <w:pStyle w:val="3"/>
        <w:spacing w:line="600" w:lineRule="exact"/>
        <w:ind w:firstLine="640" w:firstLineChars="200"/>
        <w:rPr>
          <w:rFonts w:hAnsi="仿宋"/>
          <w:sz w:val="32"/>
          <w:szCs w:val="32"/>
        </w:rPr>
      </w:pPr>
      <w:r>
        <w:rPr>
          <w:rFonts w:hint="eastAsia" w:ascii="Times New Roman" w:hAnsi="Times New Roman"/>
          <w:sz w:val="32"/>
          <w:szCs w:val="32"/>
          <w:lang w:val="en-US" w:eastAsia="zh-CN"/>
        </w:rPr>
        <w:t>5</w:t>
      </w:r>
      <w:r>
        <w:rPr>
          <w:rFonts w:ascii="Times New Roman" w:hAnsi="Times New Roman"/>
          <w:sz w:val="32"/>
          <w:szCs w:val="32"/>
        </w:rPr>
        <w:t>.与部门决算对比审核。本部门、本地区资产年报与决算报表可比单位数量XX个（即同时报送资产年报和部门决算的单位）。</w:t>
      </w:r>
      <w:r>
        <w:rPr>
          <w:rFonts w:hint="eastAsia" w:hAnsi="仿宋"/>
          <w:sz w:val="32"/>
          <w:szCs w:val="32"/>
        </w:rPr>
        <w:t>请列表对可比单位资产年报与部门决算报表（</w:t>
      </w:r>
      <w:r>
        <w:rPr>
          <w:rFonts w:hint="eastAsia" w:hAnsi="仿宋"/>
          <w:sz w:val="32"/>
          <w:szCs w:val="32"/>
          <w:lang w:eastAsia="zh-CN"/>
        </w:rPr>
        <w:t>财决</w:t>
      </w:r>
      <w:r>
        <w:rPr>
          <w:rFonts w:hint="eastAsia" w:hAnsi="仿宋"/>
          <w:sz w:val="32"/>
          <w:szCs w:val="32"/>
        </w:rPr>
        <w:t>附表</w:t>
      </w:r>
      <w:r>
        <w:rPr>
          <w:rFonts w:hAnsi="仿宋"/>
          <w:sz w:val="32"/>
          <w:szCs w:val="32"/>
        </w:rPr>
        <w:t>：</w:t>
      </w:r>
      <w:r>
        <w:rPr>
          <w:rFonts w:hint="default" w:ascii="Times New Roman" w:hAnsi="Times New Roman" w:cs="Times New Roman"/>
          <w:sz w:val="32"/>
          <w:szCs w:val="32"/>
          <w:lang w:val="en-US" w:eastAsia="zh-CN"/>
        </w:rPr>
        <w:t>01</w:t>
      </w:r>
      <w:r>
        <w:rPr>
          <w:rFonts w:hint="eastAsia" w:hAnsi="仿宋"/>
          <w:sz w:val="32"/>
          <w:szCs w:val="32"/>
        </w:rPr>
        <w:t>《预算支出</w:t>
      </w:r>
      <w:r>
        <w:rPr>
          <w:rFonts w:hAnsi="仿宋"/>
          <w:sz w:val="32"/>
          <w:szCs w:val="32"/>
        </w:rPr>
        <w:t>相关信息表》</w:t>
      </w:r>
      <w:r>
        <w:rPr>
          <w:rFonts w:hint="eastAsia" w:hAnsi="仿宋"/>
          <w:sz w:val="32"/>
          <w:szCs w:val="32"/>
          <w:lang w:eastAsia="zh-CN"/>
        </w:rPr>
        <w:t>、</w:t>
      </w:r>
      <w:r>
        <w:rPr>
          <w:rFonts w:hint="default" w:ascii="Times New Roman" w:hAnsi="Times New Roman" w:cs="Times New Roman"/>
          <w:sz w:val="32"/>
          <w:szCs w:val="32"/>
          <w:lang w:val="en-US" w:eastAsia="zh-CN"/>
        </w:rPr>
        <w:t>03</w:t>
      </w:r>
      <w:r>
        <w:rPr>
          <w:rFonts w:hint="eastAsia" w:hAnsi="仿宋"/>
          <w:sz w:val="32"/>
          <w:szCs w:val="32"/>
        </w:rPr>
        <w:t>《机构</w:t>
      </w:r>
      <w:r>
        <w:rPr>
          <w:rFonts w:hAnsi="仿宋"/>
          <w:sz w:val="32"/>
          <w:szCs w:val="32"/>
        </w:rPr>
        <w:t>运行信息表》）中的</w:t>
      </w:r>
      <w:r>
        <w:rPr>
          <w:rFonts w:hint="eastAsia" w:hAnsi="Calibri"/>
          <w:color w:val="000000" w:themeColor="text1"/>
          <w:kern w:val="2"/>
          <w:sz w:val="32"/>
          <w:szCs w:val="32"/>
          <w14:textFill>
            <w14:solidFill>
              <w14:schemeClr w14:val="tx1"/>
            </w14:solidFill>
          </w14:textFill>
        </w:rPr>
        <w:t>房屋、车辆、单</w:t>
      </w:r>
      <w:r>
        <w:rPr>
          <w:rFonts w:ascii="Times New Roman" w:hAnsi="Times New Roman"/>
          <w:color w:val="000000" w:themeColor="text1"/>
          <w:kern w:val="2"/>
          <w:sz w:val="32"/>
          <w:szCs w:val="32"/>
          <w14:textFill>
            <w14:solidFill>
              <w14:schemeClr w14:val="tx1"/>
            </w14:solidFill>
          </w14:textFill>
        </w:rPr>
        <w:t>价100</w:t>
      </w:r>
      <w:r>
        <w:rPr>
          <w:rFonts w:hint="eastAsia" w:hAnsi="Calibri"/>
          <w:color w:val="000000" w:themeColor="text1"/>
          <w:kern w:val="2"/>
          <w:sz w:val="32"/>
          <w:szCs w:val="32"/>
          <w14:textFill>
            <w14:solidFill>
              <w14:schemeClr w14:val="tx1"/>
            </w14:solidFill>
          </w14:textFill>
        </w:rPr>
        <w:t>万元（含）以上设备（不含车辆）</w:t>
      </w:r>
      <w:r>
        <w:rPr>
          <w:rFonts w:hAnsi="仿宋"/>
          <w:sz w:val="32"/>
          <w:szCs w:val="32"/>
        </w:rPr>
        <w:t>等重要资产</w:t>
      </w:r>
      <w:r>
        <w:rPr>
          <w:rFonts w:hint="eastAsia" w:hAnsi="仿宋"/>
          <w:sz w:val="32"/>
          <w:szCs w:val="32"/>
        </w:rPr>
        <w:t>数据进行对比</w:t>
      </w:r>
      <w:r>
        <w:rPr>
          <w:rFonts w:hint="eastAsia" w:hAnsi="仿宋"/>
          <w:sz w:val="32"/>
          <w:szCs w:val="32"/>
          <w:lang w:eastAsia="zh-CN"/>
        </w:rPr>
        <w:t>。</w:t>
      </w:r>
      <w:r>
        <w:rPr>
          <w:rFonts w:ascii="Times New Roman" w:hAnsi="Times New Roman"/>
          <w:sz w:val="32"/>
          <w:szCs w:val="32"/>
        </w:rPr>
        <w:t>其中，无差异单位XX个，有差异单位XX个。</w:t>
      </w:r>
      <w:r>
        <w:rPr>
          <w:rFonts w:hAnsi="仿宋"/>
          <w:sz w:val="32"/>
          <w:szCs w:val="32"/>
        </w:rPr>
        <w:t>如存在差异，请</w:t>
      </w:r>
      <w:r>
        <w:rPr>
          <w:rFonts w:hint="eastAsia" w:hAnsi="仿宋"/>
          <w:sz w:val="32"/>
          <w:szCs w:val="32"/>
        </w:rPr>
        <w:t>详细分析差异产生的</w:t>
      </w:r>
      <w:r>
        <w:rPr>
          <w:rFonts w:hint="eastAsia" w:hAnsi="仿宋"/>
          <w:sz w:val="32"/>
          <w:szCs w:val="32"/>
          <w:lang w:eastAsia="zh-CN"/>
        </w:rPr>
        <w:t>合理</w:t>
      </w:r>
      <w:r>
        <w:rPr>
          <w:rFonts w:hint="eastAsia" w:hAnsi="仿宋"/>
          <w:sz w:val="32"/>
          <w:szCs w:val="32"/>
        </w:rPr>
        <w:t>原因。</w:t>
      </w:r>
    </w:p>
    <w:tbl>
      <w:tblPr>
        <w:tblStyle w:val="9"/>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126"/>
        <w:gridCol w:w="1276"/>
        <w:gridCol w:w="1276"/>
        <w:gridCol w:w="1276"/>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r>
              <w:rPr>
                <w:rFonts w:hint="eastAsia" w:hAnsi="仿宋"/>
                <w:sz w:val="28"/>
                <w:szCs w:val="28"/>
              </w:rPr>
              <w:t>序号</w:t>
            </w:r>
          </w:p>
        </w:tc>
        <w:tc>
          <w:tcPr>
            <w:tcW w:w="2126"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对比指标</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资产</w:t>
            </w:r>
            <w:r>
              <w:rPr>
                <w:rFonts w:hAnsi="仿宋"/>
                <w:szCs w:val="28"/>
              </w:rPr>
              <w:t>年</w:t>
            </w:r>
            <w:r>
              <w:rPr>
                <w:rFonts w:hint="eastAsia" w:hAnsi="仿宋"/>
                <w:szCs w:val="28"/>
              </w:rPr>
              <w:t>报</w:t>
            </w:r>
            <w:r>
              <w:rPr>
                <w:rFonts w:hAnsi="仿宋"/>
                <w:szCs w:val="28"/>
              </w:rPr>
              <w:t>数</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部门</w:t>
            </w:r>
            <w:r>
              <w:rPr>
                <w:rFonts w:hAnsi="仿宋"/>
                <w:szCs w:val="28"/>
              </w:rPr>
              <w:t>决算</w:t>
            </w:r>
            <w:r>
              <w:rPr>
                <w:rFonts w:hint="eastAsia" w:hAnsi="仿宋"/>
                <w:szCs w:val="28"/>
              </w:rPr>
              <w:t>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户数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Ansi="仿宋"/>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c>
          <w:tcPr>
            <w:tcW w:w="2126"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Cs w:val="28"/>
              </w:rPr>
            </w:pPr>
            <w:r>
              <w:rPr>
                <w:rFonts w:ascii="Times New Roman" w:hAnsi="Times New Roman"/>
                <w:szCs w:val="28"/>
              </w:rPr>
              <w:t>1</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ascii="Times New Roman" w:hAnsi="Times New Roman"/>
                <w:szCs w:val="28"/>
              </w:rPr>
            </w:pPr>
            <w:r>
              <w:rPr>
                <w:rFonts w:ascii="Times New Roman" w:hAnsi="Times New Roman"/>
                <w:szCs w:val="28"/>
              </w:rPr>
              <w:t>房屋（平方米）</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Cs w:val="28"/>
              </w:rPr>
            </w:pPr>
            <w:r>
              <w:rPr>
                <w:rFonts w:ascii="Times New Roman" w:hAnsi="Times New Roman"/>
                <w:szCs w:val="28"/>
              </w:rPr>
              <w:t>2</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ascii="Times New Roman" w:hAnsi="Times New Roman"/>
                <w:szCs w:val="28"/>
              </w:rPr>
            </w:pPr>
            <w:r>
              <w:rPr>
                <w:rFonts w:ascii="Times New Roman" w:hAnsi="Times New Roman"/>
                <w:szCs w:val="28"/>
              </w:rPr>
              <w:t>车辆（台、辆）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Cs w:val="28"/>
              </w:rPr>
            </w:pPr>
            <w:r>
              <w:rPr>
                <w:rFonts w:ascii="Times New Roman" w:hAnsi="Times New Roman"/>
                <w:szCs w:val="28"/>
              </w:rPr>
              <w:t>3</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textAlignment w:val="auto"/>
              <w:rPr>
                <w:rFonts w:ascii="Times New Roman" w:hAnsi="Times New Roman"/>
                <w:szCs w:val="28"/>
              </w:rPr>
            </w:pPr>
            <w:r>
              <w:rPr>
                <w:rFonts w:ascii="Times New Roman" w:hAnsi="Times New Roman"/>
                <w:color w:val="000000" w:themeColor="text1"/>
                <w:kern w:val="2"/>
                <w:sz w:val="28"/>
                <w:szCs w:val="28"/>
                <w14:textFill>
                  <w14:solidFill>
                    <w14:schemeClr w14:val="tx1"/>
                  </w14:solidFill>
                </w14:textFill>
              </w:rPr>
              <w:t>单价100万元（含）以上的设备（不含车辆）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r>
    </w:tbl>
    <w:p>
      <w:pPr>
        <w:pStyle w:val="3"/>
        <w:spacing w:line="360" w:lineRule="auto"/>
        <w:ind w:firstLine="640"/>
        <w:rPr>
          <w:rFonts w:hint="default" w:ascii="仿宋_GB2312" w:hAnsi="仿宋" w:eastAsia="仿宋_GB2312" w:cs="Times New Roman"/>
          <w:kern w:val="0"/>
          <w:sz w:val="32"/>
          <w:szCs w:val="32"/>
          <w:lang w:val="en-US" w:eastAsia="zh-CN" w:bidi="ar-SA"/>
        </w:rPr>
      </w:pPr>
      <w:r>
        <w:rPr>
          <w:rFonts w:hint="default" w:ascii="Times New Roman" w:hAnsi="Times New Roman" w:cs="Times New Roman"/>
          <w:color w:val="auto"/>
          <w:kern w:val="2"/>
          <w:sz w:val="32"/>
          <w:szCs w:val="32"/>
          <w:lang w:val="en-US" w:eastAsia="zh-CN"/>
        </w:rPr>
        <w:t>6.</w:t>
      </w:r>
      <w:r>
        <w:rPr>
          <w:rFonts w:hint="eastAsia" w:hAnsi="Calibri"/>
          <w:color w:val="auto"/>
          <w:kern w:val="2"/>
          <w:sz w:val="32"/>
          <w:szCs w:val="32"/>
          <w:lang w:val="en-US" w:eastAsia="zh-CN"/>
        </w:rPr>
        <w:t>公共基础设施等行政事业性国有资产增长变化情况。</w:t>
      </w:r>
      <w:r>
        <w:rPr>
          <w:rFonts w:hint="eastAsia" w:hAnsi="Calibri"/>
          <w:color w:val="auto"/>
          <w:kern w:val="2"/>
          <w:sz w:val="32"/>
          <w:szCs w:val="32"/>
        </w:rPr>
        <w:t>本地区、本部门</w:t>
      </w:r>
      <w:r>
        <w:rPr>
          <w:rFonts w:hint="eastAsia" w:hAnsi="Calibri"/>
          <w:color w:val="auto"/>
          <w:kern w:val="2"/>
          <w:sz w:val="32"/>
          <w:szCs w:val="32"/>
          <w:lang w:eastAsia="zh-CN"/>
        </w:rPr>
        <w:t>公共基础设施（包括交通、水利、市政、其他公共基础设施）、政府储备物资、保障性住房、文物文化资产与上年变化情况分析，变化差异较大的说明原因。</w:t>
      </w:r>
    </w:p>
    <w:tbl>
      <w:tblPr>
        <w:tblStyle w:val="9"/>
        <w:tblW w:w="923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475"/>
        <w:gridCol w:w="1327"/>
        <w:gridCol w:w="1470"/>
        <w:gridCol w:w="153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对比数据（原值）</w:t>
            </w:r>
          </w:p>
        </w:tc>
        <w:tc>
          <w:tcPr>
            <w:tcW w:w="132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2024年</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期末数</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（万元）</w:t>
            </w:r>
          </w:p>
        </w:tc>
        <w:tc>
          <w:tcPr>
            <w:tcW w:w="1470"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2023年</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期末数</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（万元）</w:t>
            </w:r>
          </w:p>
        </w:tc>
        <w:tc>
          <w:tcPr>
            <w:tcW w:w="153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增减</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比率</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变动原因说明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32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470"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53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28"/>
                <w:szCs w:val="28"/>
                <w:vertAlign w:val="baseline"/>
                <w:lang w:val="en-US" w:eastAsia="zh-CN"/>
              </w:rPr>
              <w:t>4=（2-3）/3</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32"/>
                <w:szCs w:val="32"/>
                <w:lang w:val="en-US" w:eastAsia="zh-CN"/>
              </w:rPr>
              <w:t>公共基础设施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2</w:t>
            </w:r>
          </w:p>
        </w:tc>
        <w:tc>
          <w:tcPr>
            <w:tcW w:w="2475" w:type="dxa"/>
          </w:tcPr>
          <w:p>
            <w:pPr>
              <w:pStyle w:val="3"/>
              <w:spacing w:line="600" w:lineRule="exac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其中：</w:t>
            </w:r>
            <w:r>
              <w:rPr>
                <w:rFonts w:hint="eastAsia" w:ascii="仿宋_GB2312" w:hAnsi="仿宋_GB2312" w:eastAsia="仿宋_GB2312" w:cs="仿宋_GB2312"/>
                <w:b w:val="0"/>
                <w:bCs w:val="0"/>
                <w:sz w:val="24"/>
                <w:szCs w:val="24"/>
                <w:lang w:val="en-US" w:eastAsia="zh-CN"/>
              </w:rPr>
              <w:t>市政基础设施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3</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交通基础设施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4</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水利基础设施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5</w:t>
            </w:r>
          </w:p>
        </w:tc>
        <w:tc>
          <w:tcPr>
            <w:tcW w:w="2475" w:type="dxa"/>
          </w:tcPr>
          <w:p>
            <w:pPr>
              <w:pStyle w:val="3"/>
              <w:keepNext w:val="0"/>
              <w:keepLines w:val="0"/>
              <w:pageBreakBefore w:val="0"/>
              <w:widowControl/>
              <w:kinsoku/>
              <w:wordWrap/>
              <w:overflowPunct/>
              <w:topLinePunct w:val="0"/>
              <w:autoSpaceDE/>
              <w:autoSpaceDN/>
              <w:bidi w:val="0"/>
              <w:adjustRightInd w:val="0"/>
              <w:snapToGrid w:val="0"/>
              <w:spacing w:line="400" w:lineRule="exact"/>
              <w:ind w:left="718" w:leftChars="342" w:firstLine="0" w:firstLineChars="0"/>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其他公共基础设施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6</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政府储备物资</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7</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保障性住房</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8</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文物文化资产</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bl>
    <w:p>
      <w:pPr>
        <w:pStyle w:val="3"/>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楷体_GB2312" w:hAnsi="仿宋" w:eastAsia="楷体_GB2312" w:cs="仿宋"/>
          <w:b/>
          <w:sz w:val="32"/>
          <w:szCs w:val="32"/>
        </w:rPr>
      </w:pPr>
      <w:r>
        <w:rPr>
          <w:rFonts w:hint="eastAsia" w:ascii="楷体_GB2312" w:hAnsi="仿宋" w:eastAsia="楷体_GB2312" w:cs="仿宋"/>
          <w:b/>
          <w:sz w:val="32"/>
          <w:szCs w:val="32"/>
        </w:rPr>
        <w:t>（二）对报表指标、审核公式和分析表的设置建议</w:t>
      </w:r>
    </w:p>
    <w:p>
      <w:pPr>
        <w:pStyle w:val="3"/>
        <w:spacing w:line="600" w:lineRule="exact"/>
        <w:ind w:firstLine="640"/>
        <w:rPr>
          <w:rFonts w:ascii="Times New Roman" w:hAnsi="Times New Roman"/>
          <w:sz w:val="32"/>
          <w:szCs w:val="32"/>
        </w:rPr>
      </w:pPr>
      <w:r>
        <w:rPr>
          <w:rFonts w:ascii="Times New Roman" w:hAnsi="Times New Roman"/>
          <w:sz w:val="32"/>
          <w:szCs w:val="32"/>
        </w:rPr>
        <w:t>1.对报表指标设置的建议。</w:t>
      </w:r>
    </w:p>
    <w:p>
      <w:pPr>
        <w:pStyle w:val="3"/>
        <w:spacing w:line="600" w:lineRule="exact"/>
        <w:ind w:firstLine="640"/>
        <w:rPr>
          <w:rFonts w:ascii="Times New Roman" w:hAnsi="Times New Roman"/>
          <w:sz w:val="32"/>
          <w:szCs w:val="32"/>
        </w:rPr>
      </w:pPr>
      <w:r>
        <w:rPr>
          <w:rFonts w:ascii="Times New Roman" w:hAnsi="Times New Roman"/>
          <w:sz w:val="32"/>
          <w:szCs w:val="32"/>
        </w:rPr>
        <w:t>2.如有不适用的审核公式，请列出并说明修改意见。</w:t>
      </w:r>
    </w:p>
    <w:p>
      <w:pPr>
        <w:pStyle w:val="3"/>
        <w:spacing w:line="600" w:lineRule="exact"/>
        <w:ind w:firstLine="640"/>
        <w:rPr>
          <w:rFonts w:hAnsi="仿宋"/>
          <w:sz w:val="32"/>
          <w:szCs w:val="32"/>
        </w:rPr>
      </w:pPr>
      <w:r>
        <w:rPr>
          <w:rFonts w:ascii="Times New Roman" w:hAnsi="Times New Roman"/>
          <w:sz w:val="32"/>
          <w:szCs w:val="32"/>
        </w:rPr>
        <w:t>3.本</w:t>
      </w:r>
      <w:r>
        <w:rPr>
          <w:rFonts w:hint="eastAsia" w:hAnsi="仿宋"/>
          <w:sz w:val="32"/>
          <w:szCs w:val="32"/>
        </w:rPr>
        <w:t>地区、本部门自行增加的审核公式，请列出并说明设置依据。</w:t>
      </w:r>
    </w:p>
    <w:p>
      <w:pPr>
        <w:pStyle w:val="3"/>
        <w:keepNext w:val="0"/>
        <w:keepLines w:val="0"/>
        <w:pageBreakBefore w:val="0"/>
        <w:kinsoku/>
        <w:wordWrap/>
        <w:overflowPunct/>
        <w:topLinePunct w:val="0"/>
        <w:autoSpaceDE/>
        <w:autoSpaceDN/>
        <w:bidi w:val="0"/>
        <w:spacing w:line="600" w:lineRule="exact"/>
        <w:ind w:left="640"/>
        <w:textAlignment w:val="auto"/>
        <w:rPr>
          <w:rFonts w:hint="eastAsia" w:ascii="黑体" w:hAnsi="黑体" w:eastAsia="黑体" w:cs="仿宋"/>
          <w:bCs/>
          <w:sz w:val="32"/>
          <w:szCs w:val="32"/>
        </w:rPr>
      </w:pPr>
      <w:r>
        <w:rPr>
          <w:rFonts w:hint="eastAsia" w:ascii="黑体" w:hAnsi="黑体" w:eastAsia="黑体" w:cs="仿宋"/>
          <w:bCs/>
          <w:sz w:val="32"/>
          <w:szCs w:val="32"/>
        </w:rPr>
        <w:t>三、其他说明情况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楷体" w:eastAsia="仿宋_GB2312"/>
          <w:color w:val="000000" w:themeColor="text1"/>
          <w:kern w:val="0"/>
          <w:sz w:val="32"/>
          <w:szCs w:val="32"/>
          <w:highlight w:val="none"/>
          <w14:textFill>
            <w14:solidFill>
              <w14:schemeClr w14:val="tx1"/>
            </w14:solidFill>
          </w14:textFill>
        </w:rPr>
        <w:t>（一）</w:t>
      </w:r>
      <w:r>
        <w:rPr>
          <w:rFonts w:hint="eastAsia" w:ascii="仿宋_GB2312" w:eastAsia="仿宋_GB2312"/>
          <w:color w:val="000000" w:themeColor="text1"/>
          <w:sz w:val="32"/>
          <w:szCs w:val="32"/>
          <w:highlight w:val="none"/>
          <w14:textFill>
            <w14:solidFill>
              <w14:schemeClr w14:val="tx1"/>
            </w14:solidFill>
          </w14:textFill>
        </w:rPr>
        <w:t>对本地区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本部门</w:t>
      </w:r>
      <w:r>
        <w:rPr>
          <w:rFonts w:hint="eastAsia" w:ascii="仿宋_GB2312" w:eastAsia="仿宋_GB2312"/>
          <w:color w:val="000000" w:themeColor="text1"/>
          <w:sz w:val="32"/>
          <w:szCs w:val="32"/>
          <w:highlight w:val="none"/>
          <w:lang w:eastAsia="zh-CN"/>
          <w14:textFill>
            <w14:solidFill>
              <w14:schemeClr w14:val="tx1"/>
            </w14:solidFill>
          </w14:textFill>
        </w:rPr>
        <w:t>资</w:t>
      </w:r>
      <w:r>
        <w:rPr>
          <w:rFonts w:hint="eastAsia" w:ascii="仿宋_GB2312" w:eastAsia="仿宋_GB2312"/>
          <w:color w:val="000000" w:themeColor="text1"/>
          <w:sz w:val="32"/>
          <w:szCs w:val="32"/>
          <w:highlight w:val="none"/>
          <w14:textFill>
            <w14:solidFill>
              <w14:schemeClr w14:val="tx1"/>
            </w14:solidFill>
          </w14:textFill>
        </w:rPr>
        <w:t>产损失、权属</w:t>
      </w:r>
      <w:r>
        <w:rPr>
          <w:rFonts w:ascii="仿宋_GB2312" w:eastAsia="仿宋_GB2312"/>
          <w:color w:val="000000" w:themeColor="text1"/>
          <w:sz w:val="32"/>
          <w:szCs w:val="32"/>
          <w:highlight w:val="none"/>
          <w14:textFill>
            <w14:solidFill>
              <w14:schemeClr w14:val="tx1"/>
            </w14:solidFill>
          </w14:textFill>
        </w:rPr>
        <w:t>不清晰</w:t>
      </w:r>
      <w:r>
        <w:rPr>
          <w:rFonts w:hint="eastAsia" w:ascii="仿宋_GB2312" w:eastAsia="仿宋_GB2312"/>
          <w:color w:val="000000" w:themeColor="text1"/>
          <w:sz w:val="32"/>
          <w:szCs w:val="32"/>
          <w:highlight w:val="none"/>
          <w14:textFill>
            <w14:solidFill>
              <w14:schemeClr w14:val="tx1"/>
            </w14:solidFill>
          </w14:textFill>
        </w:rPr>
        <w:t>等重要</w:t>
      </w:r>
      <w:r>
        <w:rPr>
          <w:rFonts w:ascii="仿宋_GB2312" w:eastAsia="仿宋_GB2312"/>
          <w:color w:val="000000" w:themeColor="text1"/>
          <w:sz w:val="32"/>
          <w:szCs w:val="32"/>
          <w:highlight w:val="none"/>
          <w14:textFill>
            <w14:solidFill>
              <w14:schemeClr w14:val="tx1"/>
            </w14:solidFill>
          </w14:textFill>
        </w:rPr>
        <w:t>资产情况</w:t>
      </w:r>
      <w:r>
        <w:rPr>
          <w:rFonts w:hint="eastAsia" w:ascii="仿宋_GB2312" w:eastAsia="仿宋_GB2312"/>
          <w:color w:val="000000" w:themeColor="text1"/>
          <w:sz w:val="32"/>
          <w:szCs w:val="32"/>
          <w:highlight w:val="none"/>
          <w14:textFill>
            <w14:solidFill>
              <w14:schemeClr w14:val="tx1"/>
            </w14:solidFill>
          </w14:textFill>
        </w:rPr>
        <w:t>以及其他重要事项进行详细分析说明。</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楷体" w:eastAsia="仿宋_GB2312"/>
          <w:color w:val="000000" w:themeColor="text1"/>
          <w:kern w:val="0"/>
          <w:sz w:val="32"/>
          <w:szCs w:val="32"/>
          <w14:textFill>
            <w14:solidFill>
              <w14:schemeClr w14:val="tx1"/>
            </w14:solidFill>
          </w14:textFill>
        </w:rPr>
        <w:t>（二）</w:t>
      </w:r>
      <w:r>
        <w:rPr>
          <w:rFonts w:hint="eastAsia" w:ascii="仿宋_GB2312" w:eastAsia="仿宋_GB2312"/>
          <w:color w:val="000000" w:themeColor="text1"/>
          <w:sz w:val="32"/>
          <w:szCs w:val="32"/>
          <w:highlight w:val="none"/>
          <w14:textFill>
            <w14:solidFill>
              <w14:schemeClr w14:val="tx1"/>
            </w14:solidFill>
          </w14:textFill>
        </w:rPr>
        <w:t>本地区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本部门</w:t>
      </w:r>
      <w:r>
        <w:rPr>
          <w:rFonts w:hint="eastAsia" w:ascii="仿宋_GB2312" w:eastAsia="仿宋_GB2312"/>
          <w:color w:val="000000" w:themeColor="text1"/>
          <w:sz w:val="32"/>
          <w:szCs w:val="32"/>
          <w14:textFill>
            <w14:solidFill>
              <w14:schemeClr w14:val="tx1"/>
            </w14:solidFill>
          </w14:textFill>
        </w:rPr>
        <w:t>公共基础设施</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政府储备物资、文物文化资产、保障性住房数据与行业统计数据</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对比情况，如不一致应说明差异原因。</w:t>
      </w:r>
    </w:p>
    <w:p>
      <w:pPr>
        <w:ind w:firstLine="720" w:firstLineChars="225"/>
        <w:rPr>
          <w:rFonts w:ascii="黑体"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lang w:val="en-US" w:eastAsia="zh-CN"/>
          <w14:textFill>
            <w14:solidFill>
              <w14:schemeClr w14:val="tx1"/>
            </w14:solidFill>
          </w14:textFill>
        </w:rPr>
        <w:t>三</w:t>
      </w:r>
      <w:r>
        <w:rPr>
          <w:rFonts w:hint="eastAsia" w:ascii="黑体" w:hAnsi="仿宋" w:eastAsia="黑体"/>
          <w:color w:val="000000" w:themeColor="text1"/>
          <w:sz w:val="32"/>
          <w:szCs w:val="32"/>
          <w:highlight w:val="none"/>
          <w14:textFill>
            <w14:solidFill>
              <w14:schemeClr w14:val="tx1"/>
            </w14:solidFill>
          </w14:textFill>
        </w:rPr>
        <w:t>、其他需要</w:t>
      </w:r>
      <w:r>
        <w:rPr>
          <w:rFonts w:hint="eastAsia" w:ascii="黑体" w:hAnsi="仿宋" w:eastAsia="黑体"/>
          <w:color w:val="000000" w:themeColor="text1"/>
          <w:sz w:val="32"/>
          <w:szCs w:val="32"/>
          <w:highlight w:val="none"/>
          <w:lang w:val="en-US" w:eastAsia="zh-CN"/>
          <w14:textFill>
            <w14:solidFill>
              <w14:schemeClr w14:val="tx1"/>
            </w14:solidFill>
          </w14:textFill>
        </w:rPr>
        <w:t>说明</w:t>
      </w:r>
      <w:r>
        <w:rPr>
          <w:rFonts w:hint="eastAsia" w:ascii="黑体" w:hAnsi="仿宋" w:eastAsia="黑体"/>
          <w:color w:val="000000" w:themeColor="text1"/>
          <w:sz w:val="32"/>
          <w:szCs w:val="32"/>
          <w:highlight w:val="none"/>
          <w14:textFill>
            <w14:solidFill>
              <w14:schemeClr w14:val="tx1"/>
            </w14:solidFill>
          </w14:textFill>
        </w:rPr>
        <w:t>的重要事项</w:t>
      </w:r>
    </w:p>
    <w:p>
      <w:pPr>
        <w:spacing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楷体" w:eastAsia="仿宋_GB2312"/>
          <w:color w:val="000000" w:themeColor="text1"/>
          <w:kern w:val="0"/>
          <w:sz w:val="32"/>
          <w:szCs w:val="32"/>
          <w:highlight w:val="none"/>
          <w14:textFill>
            <w14:solidFill>
              <w14:schemeClr w14:val="tx1"/>
            </w14:solidFill>
          </w14:textFill>
        </w:rPr>
        <w:t>（一）</w:t>
      </w:r>
      <w:r>
        <w:rPr>
          <w:rFonts w:hint="eastAsia" w:ascii="仿宋_GB2312" w:eastAsia="仿宋_GB2312"/>
          <w:color w:val="000000" w:themeColor="text1"/>
          <w:sz w:val="32"/>
          <w:szCs w:val="32"/>
          <w:highlight w:val="none"/>
          <w14:textFill>
            <w14:solidFill>
              <w14:schemeClr w14:val="tx1"/>
            </w14:solidFill>
          </w14:textFill>
        </w:rPr>
        <w:t>对本地区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本部门</w:t>
      </w:r>
      <w:r>
        <w:rPr>
          <w:rFonts w:hint="eastAsia" w:ascii="仿宋_GB2312" w:eastAsia="仿宋_GB2312"/>
          <w:color w:val="000000" w:themeColor="text1"/>
          <w:sz w:val="32"/>
          <w:szCs w:val="32"/>
          <w:highlight w:val="none"/>
          <w:lang w:eastAsia="zh-CN"/>
          <w14:textFill>
            <w14:solidFill>
              <w14:schemeClr w14:val="tx1"/>
            </w14:solidFill>
          </w14:textFill>
        </w:rPr>
        <w:t>资</w:t>
      </w:r>
      <w:r>
        <w:rPr>
          <w:rFonts w:hint="eastAsia" w:ascii="仿宋_GB2312" w:eastAsia="仿宋_GB2312"/>
          <w:color w:val="000000" w:themeColor="text1"/>
          <w:sz w:val="32"/>
          <w:szCs w:val="32"/>
          <w:highlight w:val="none"/>
          <w14:textFill>
            <w14:solidFill>
              <w14:schemeClr w14:val="tx1"/>
            </w14:solidFill>
          </w14:textFill>
        </w:rPr>
        <w:t>产损失、权属</w:t>
      </w:r>
      <w:r>
        <w:rPr>
          <w:rFonts w:ascii="仿宋_GB2312" w:eastAsia="仿宋_GB2312"/>
          <w:color w:val="000000" w:themeColor="text1"/>
          <w:sz w:val="32"/>
          <w:szCs w:val="32"/>
          <w:highlight w:val="none"/>
          <w14:textFill>
            <w14:solidFill>
              <w14:schemeClr w14:val="tx1"/>
            </w14:solidFill>
          </w14:textFill>
        </w:rPr>
        <w:t>不清晰</w:t>
      </w:r>
      <w:r>
        <w:rPr>
          <w:rFonts w:hint="eastAsia" w:ascii="仿宋_GB2312" w:eastAsia="仿宋_GB2312"/>
          <w:color w:val="000000" w:themeColor="text1"/>
          <w:sz w:val="32"/>
          <w:szCs w:val="32"/>
          <w:highlight w:val="none"/>
          <w14:textFill>
            <w14:solidFill>
              <w14:schemeClr w14:val="tx1"/>
            </w14:solidFill>
          </w14:textFill>
        </w:rPr>
        <w:t>等重要</w:t>
      </w:r>
      <w:r>
        <w:rPr>
          <w:rFonts w:ascii="仿宋_GB2312" w:eastAsia="仿宋_GB2312"/>
          <w:color w:val="000000" w:themeColor="text1"/>
          <w:sz w:val="32"/>
          <w:szCs w:val="32"/>
          <w:highlight w:val="none"/>
          <w14:textFill>
            <w14:solidFill>
              <w14:schemeClr w14:val="tx1"/>
            </w14:solidFill>
          </w14:textFill>
        </w:rPr>
        <w:t>资产情况</w:t>
      </w:r>
      <w:r>
        <w:rPr>
          <w:rFonts w:hint="eastAsia" w:ascii="仿宋_GB2312" w:eastAsia="仿宋_GB2312"/>
          <w:color w:val="000000" w:themeColor="text1"/>
          <w:sz w:val="32"/>
          <w:szCs w:val="32"/>
          <w:highlight w:val="none"/>
          <w14:textFill>
            <w14:solidFill>
              <w14:schemeClr w14:val="tx1"/>
            </w14:solidFill>
          </w14:textFill>
        </w:rPr>
        <w:t>以及其他重要事项进行详细分析说明。</w:t>
      </w:r>
    </w:p>
    <w:sectPr>
      <w:pgSz w:w="11906" w:h="16838"/>
      <w:pgMar w:top="1440" w:right="1576"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4</w:t>
    </w:r>
    <w:r>
      <w:rPr>
        <w:rFonts w:hint="eastAsia" w:asciiTheme="minorEastAsia" w:hAnsiTheme="minorEastAsia" w:eastAsiaTheme="minorEastAsia" w:cstheme="minorEastAsia"/>
        <w:sz w:val="28"/>
        <w:szCs w:val="28"/>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6D47B"/>
    <w:multiLevelType w:val="singleLevel"/>
    <w:tmpl w:val="5966D47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91"/>
    <w:rsid w:val="000049FE"/>
    <w:rsid w:val="00025FE2"/>
    <w:rsid w:val="0005300D"/>
    <w:rsid w:val="00057D79"/>
    <w:rsid w:val="00060164"/>
    <w:rsid w:val="0006365D"/>
    <w:rsid w:val="00070D4D"/>
    <w:rsid w:val="00093C60"/>
    <w:rsid w:val="000A6954"/>
    <w:rsid w:val="000B0273"/>
    <w:rsid w:val="000C0B41"/>
    <w:rsid w:val="000E1A94"/>
    <w:rsid w:val="00104A2E"/>
    <w:rsid w:val="00112231"/>
    <w:rsid w:val="00115EAB"/>
    <w:rsid w:val="00124AA1"/>
    <w:rsid w:val="00130C7A"/>
    <w:rsid w:val="001317CB"/>
    <w:rsid w:val="00135BD3"/>
    <w:rsid w:val="001D1C02"/>
    <w:rsid w:val="001E2AD1"/>
    <w:rsid w:val="001F4EF9"/>
    <w:rsid w:val="001F585A"/>
    <w:rsid w:val="0020017F"/>
    <w:rsid w:val="00245824"/>
    <w:rsid w:val="00260602"/>
    <w:rsid w:val="00260835"/>
    <w:rsid w:val="002816D5"/>
    <w:rsid w:val="00294E37"/>
    <w:rsid w:val="002B7325"/>
    <w:rsid w:val="002C63C3"/>
    <w:rsid w:val="002F1B98"/>
    <w:rsid w:val="00313106"/>
    <w:rsid w:val="00316C04"/>
    <w:rsid w:val="00335991"/>
    <w:rsid w:val="00343A10"/>
    <w:rsid w:val="00344E53"/>
    <w:rsid w:val="0034673F"/>
    <w:rsid w:val="0039703D"/>
    <w:rsid w:val="003A3A2D"/>
    <w:rsid w:val="003B7322"/>
    <w:rsid w:val="003D4053"/>
    <w:rsid w:val="003F286C"/>
    <w:rsid w:val="004127EB"/>
    <w:rsid w:val="00432B1F"/>
    <w:rsid w:val="00434575"/>
    <w:rsid w:val="004B14B2"/>
    <w:rsid w:val="004C4497"/>
    <w:rsid w:val="004E66B6"/>
    <w:rsid w:val="0050435A"/>
    <w:rsid w:val="00521A84"/>
    <w:rsid w:val="00544332"/>
    <w:rsid w:val="005540C2"/>
    <w:rsid w:val="005674F5"/>
    <w:rsid w:val="00583C5E"/>
    <w:rsid w:val="00591362"/>
    <w:rsid w:val="0059651B"/>
    <w:rsid w:val="005A0BE4"/>
    <w:rsid w:val="005A1BA1"/>
    <w:rsid w:val="005B3DE9"/>
    <w:rsid w:val="005B7631"/>
    <w:rsid w:val="005D179C"/>
    <w:rsid w:val="00654FF0"/>
    <w:rsid w:val="00683CF7"/>
    <w:rsid w:val="00684169"/>
    <w:rsid w:val="006949CA"/>
    <w:rsid w:val="006A0C68"/>
    <w:rsid w:val="006E6AEC"/>
    <w:rsid w:val="00702284"/>
    <w:rsid w:val="00704CA6"/>
    <w:rsid w:val="007259D4"/>
    <w:rsid w:val="00732BFE"/>
    <w:rsid w:val="00742F68"/>
    <w:rsid w:val="00754EED"/>
    <w:rsid w:val="00757346"/>
    <w:rsid w:val="00770C5C"/>
    <w:rsid w:val="00796F97"/>
    <w:rsid w:val="00815357"/>
    <w:rsid w:val="00837987"/>
    <w:rsid w:val="0084501D"/>
    <w:rsid w:val="00845C4E"/>
    <w:rsid w:val="00846FA0"/>
    <w:rsid w:val="0087312C"/>
    <w:rsid w:val="008E1490"/>
    <w:rsid w:val="00922278"/>
    <w:rsid w:val="00952E45"/>
    <w:rsid w:val="009636B1"/>
    <w:rsid w:val="0098376A"/>
    <w:rsid w:val="0099011D"/>
    <w:rsid w:val="009965F0"/>
    <w:rsid w:val="009A568B"/>
    <w:rsid w:val="009A678D"/>
    <w:rsid w:val="009C2E68"/>
    <w:rsid w:val="009E32C4"/>
    <w:rsid w:val="009E6C2B"/>
    <w:rsid w:val="00A053A5"/>
    <w:rsid w:val="00A13740"/>
    <w:rsid w:val="00A209C9"/>
    <w:rsid w:val="00A22192"/>
    <w:rsid w:val="00A43FA6"/>
    <w:rsid w:val="00A52B3F"/>
    <w:rsid w:val="00A75CAF"/>
    <w:rsid w:val="00A934B6"/>
    <w:rsid w:val="00AB43E0"/>
    <w:rsid w:val="00AB7AC4"/>
    <w:rsid w:val="00AD0838"/>
    <w:rsid w:val="00AD48AD"/>
    <w:rsid w:val="00AF54B7"/>
    <w:rsid w:val="00B0148B"/>
    <w:rsid w:val="00B10C3B"/>
    <w:rsid w:val="00B235AD"/>
    <w:rsid w:val="00B675BA"/>
    <w:rsid w:val="00B70B23"/>
    <w:rsid w:val="00B718A3"/>
    <w:rsid w:val="00BB25C0"/>
    <w:rsid w:val="00BC3E15"/>
    <w:rsid w:val="00BE24C4"/>
    <w:rsid w:val="00C028AC"/>
    <w:rsid w:val="00C05D96"/>
    <w:rsid w:val="00C13517"/>
    <w:rsid w:val="00C17C36"/>
    <w:rsid w:val="00C222AF"/>
    <w:rsid w:val="00C830C8"/>
    <w:rsid w:val="00C83300"/>
    <w:rsid w:val="00C90C24"/>
    <w:rsid w:val="00C9528A"/>
    <w:rsid w:val="00CB2D15"/>
    <w:rsid w:val="00CE68C6"/>
    <w:rsid w:val="00CE68D6"/>
    <w:rsid w:val="00D15D43"/>
    <w:rsid w:val="00DA0CE3"/>
    <w:rsid w:val="00DA4426"/>
    <w:rsid w:val="00DA66C1"/>
    <w:rsid w:val="00DD0A90"/>
    <w:rsid w:val="00DD1279"/>
    <w:rsid w:val="00DE6C71"/>
    <w:rsid w:val="00DF0C51"/>
    <w:rsid w:val="00E058EC"/>
    <w:rsid w:val="00E5767B"/>
    <w:rsid w:val="00E7352D"/>
    <w:rsid w:val="00E85851"/>
    <w:rsid w:val="00E915A4"/>
    <w:rsid w:val="00EB5364"/>
    <w:rsid w:val="00EB7A21"/>
    <w:rsid w:val="00EC503B"/>
    <w:rsid w:val="00EC6494"/>
    <w:rsid w:val="00ED5731"/>
    <w:rsid w:val="00EE65BA"/>
    <w:rsid w:val="00F05080"/>
    <w:rsid w:val="00F30282"/>
    <w:rsid w:val="00F4167D"/>
    <w:rsid w:val="00FA395F"/>
    <w:rsid w:val="00FE21FF"/>
    <w:rsid w:val="00FE4709"/>
    <w:rsid w:val="00FE6BEE"/>
    <w:rsid w:val="01B72FE8"/>
    <w:rsid w:val="05630DED"/>
    <w:rsid w:val="05737DA7"/>
    <w:rsid w:val="05DD0AAC"/>
    <w:rsid w:val="07C8056D"/>
    <w:rsid w:val="0803606E"/>
    <w:rsid w:val="0A14573C"/>
    <w:rsid w:val="13DF7131"/>
    <w:rsid w:val="17CB7957"/>
    <w:rsid w:val="18043766"/>
    <w:rsid w:val="189C500A"/>
    <w:rsid w:val="1A140B8C"/>
    <w:rsid w:val="1A3E4A12"/>
    <w:rsid w:val="1ADA5C0C"/>
    <w:rsid w:val="1C8E2CFC"/>
    <w:rsid w:val="1CE47404"/>
    <w:rsid w:val="1CFD2315"/>
    <w:rsid w:val="1D1B3B15"/>
    <w:rsid w:val="1EA83571"/>
    <w:rsid w:val="2398650F"/>
    <w:rsid w:val="24B63E8F"/>
    <w:rsid w:val="24E34B4D"/>
    <w:rsid w:val="25D9C99C"/>
    <w:rsid w:val="27343E39"/>
    <w:rsid w:val="27403D23"/>
    <w:rsid w:val="297F79EA"/>
    <w:rsid w:val="2C810C7E"/>
    <w:rsid w:val="2CE92C08"/>
    <w:rsid w:val="2D983B51"/>
    <w:rsid w:val="2F9F2606"/>
    <w:rsid w:val="356A0CBA"/>
    <w:rsid w:val="36E74043"/>
    <w:rsid w:val="37BE5ACC"/>
    <w:rsid w:val="37FB4992"/>
    <w:rsid w:val="3CB955A9"/>
    <w:rsid w:val="3D0F0E7C"/>
    <w:rsid w:val="3D3F89B2"/>
    <w:rsid w:val="3D7C6550"/>
    <w:rsid w:val="3DF70E0B"/>
    <w:rsid w:val="3E981F4A"/>
    <w:rsid w:val="3EE67CFE"/>
    <w:rsid w:val="3F3DA2E9"/>
    <w:rsid w:val="3F7883FC"/>
    <w:rsid w:val="3F890E9E"/>
    <w:rsid w:val="42015F7A"/>
    <w:rsid w:val="42A55E52"/>
    <w:rsid w:val="43FFB406"/>
    <w:rsid w:val="49007BB4"/>
    <w:rsid w:val="4B95391B"/>
    <w:rsid w:val="4BDC7BBB"/>
    <w:rsid w:val="4D2F10C6"/>
    <w:rsid w:val="4D8455FF"/>
    <w:rsid w:val="4E37BE08"/>
    <w:rsid w:val="4E8F59DC"/>
    <w:rsid w:val="4F366B63"/>
    <w:rsid w:val="4FFF3EE2"/>
    <w:rsid w:val="529714CD"/>
    <w:rsid w:val="57F31A0F"/>
    <w:rsid w:val="57FF0D9A"/>
    <w:rsid w:val="581C0110"/>
    <w:rsid w:val="58F32484"/>
    <w:rsid w:val="59536C3D"/>
    <w:rsid w:val="59CC555B"/>
    <w:rsid w:val="5EC7117B"/>
    <w:rsid w:val="5FCC6669"/>
    <w:rsid w:val="5FEDA4C1"/>
    <w:rsid w:val="64AC7CC2"/>
    <w:rsid w:val="670FCBCB"/>
    <w:rsid w:val="69B45402"/>
    <w:rsid w:val="6B065441"/>
    <w:rsid w:val="6BA8786E"/>
    <w:rsid w:val="6D144208"/>
    <w:rsid w:val="6D5FDA4B"/>
    <w:rsid w:val="6E7FD8FE"/>
    <w:rsid w:val="6FEFC123"/>
    <w:rsid w:val="70913962"/>
    <w:rsid w:val="71422B97"/>
    <w:rsid w:val="73675C09"/>
    <w:rsid w:val="736A4005"/>
    <w:rsid w:val="76187CCC"/>
    <w:rsid w:val="770A1366"/>
    <w:rsid w:val="77A5CA54"/>
    <w:rsid w:val="77BF842C"/>
    <w:rsid w:val="77E76F2F"/>
    <w:rsid w:val="7942105E"/>
    <w:rsid w:val="7BCA240B"/>
    <w:rsid w:val="7CEFAB27"/>
    <w:rsid w:val="7D3FD546"/>
    <w:rsid w:val="7ED71BDD"/>
    <w:rsid w:val="7EDCC27B"/>
    <w:rsid w:val="7F386B3C"/>
    <w:rsid w:val="7F5F3D23"/>
    <w:rsid w:val="7F6FF6DE"/>
    <w:rsid w:val="7FAACC4A"/>
    <w:rsid w:val="7FBD7DB8"/>
    <w:rsid w:val="7FF78881"/>
    <w:rsid w:val="7FFB5C2C"/>
    <w:rsid w:val="7FFBE869"/>
    <w:rsid w:val="8E798A56"/>
    <w:rsid w:val="9AFADA6D"/>
    <w:rsid w:val="9BF5BF60"/>
    <w:rsid w:val="9FFF1198"/>
    <w:rsid w:val="A7F51ACC"/>
    <w:rsid w:val="AADF3610"/>
    <w:rsid w:val="BBEFF8CC"/>
    <w:rsid w:val="BD0F4566"/>
    <w:rsid w:val="BDDA4A4A"/>
    <w:rsid w:val="BFBFCF9B"/>
    <w:rsid w:val="BFFDDA5C"/>
    <w:rsid w:val="D37FC512"/>
    <w:rsid w:val="DDE63326"/>
    <w:rsid w:val="DE94688C"/>
    <w:rsid w:val="DECFE890"/>
    <w:rsid w:val="DFEF15D4"/>
    <w:rsid w:val="E6F9D446"/>
    <w:rsid w:val="E6FB2EED"/>
    <w:rsid w:val="EBEB56AD"/>
    <w:rsid w:val="EDFF3CE7"/>
    <w:rsid w:val="EE6FC3FF"/>
    <w:rsid w:val="EEBB162C"/>
    <w:rsid w:val="F1EF80BD"/>
    <w:rsid w:val="F4AB3463"/>
    <w:rsid w:val="F9FF5871"/>
    <w:rsid w:val="FBBFA39A"/>
    <w:rsid w:val="FDDCDD17"/>
    <w:rsid w:val="FDFBC29F"/>
    <w:rsid w:val="FE9E3D2D"/>
    <w:rsid w:val="FEBDA457"/>
    <w:rsid w:val="FED50D85"/>
    <w:rsid w:val="FEDFB753"/>
    <w:rsid w:val="FEFFF1CB"/>
    <w:rsid w:val="FF3E895F"/>
    <w:rsid w:val="FFEFBB30"/>
    <w:rsid w:val="FFFFD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qFormat/>
    <w:uiPriority w:val="0"/>
    <w:pPr>
      <w:widowControl/>
      <w:adjustRightInd w:val="0"/>
      <w:snapToGrid w:val="0"/>
      <w:spacing w:line="360" w:lineRule="auto"/>
    </w:pPr>
    <w:rPr>
      <w:rFonts w:ascii="仿宋_GB2312" w:hAnsi="宋体" w:eastAsia="仿宋_GB2312"/>
      <w:kern w:val="0"/>
      <w:sz w:val="28"/>
    </w:rPr>
  </w:style>
  <w:style w:type="paragraph" w:styleId="4">
    <w:name w:val="Balloon Text"/>
    <w:basedOn w:val="1"/>
    <w:link w:val="13"/>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character" w:customStyle="1" w:styleId="12">
    <w:name w:val="页眉 字符"/>
    <w:link w:val="6"/>
    <w:qFormat/>
    <w:uiPriority w:val="0"/>
    <w:rPr>
      <w:kern w:val="2"/>
      <w:sz w:val="18"/>
      <w:szCs w:val="18"/>
    </w:rPr>
  </w:style>
  <w:style w:type="character" w:customStyle="1" w:styleId="13">
    <w:name w:val="批注框文本 字符"/>
    <w:link w:val="4"/>
    <w:qFormat/>
    <w:uiPriority w:val="0"/>
    <w:rPr>
      <w:kern w:val="2"/>
      <w:sz w:val="18"/>
      <w:szCs w:val="18"/>
    </w:rPr>
  </w:style>
  <w:style w:type="character" w:customStyle="1" w:styleId="14">
    <w:name w:val="批注文字 字符"/>
    <w:link w:val="2"/>
    <w:qFormat/>
    <w:uiPriority w:val="0"/>
    <w:rPr>
      <w:kern w:val="2"/>
      <w:sz w:val="21"/>
      <w:szCs w:val="24"/>
    </w:rPr>
  </w:style>
  <w:style w:type="character" w:customStyle="1" w:styleId="15">
    <w:name w:val="批注主题 字符"/>
    <w:link w:val="7"/>
    <w:qFormat/>
    <w:uiPriority w:val="0"/>
    <w:rPr>
      <w:b/>
      <w:bCs/>
      <w:kern w:val="2"/>
      <w:sz w:val="21"/>
      <w:szCs w:val="24"/>
    </w:rPr>
  </w:style>
  <w:style w:type="character" w:customStyle="1" w:styleId="16">
    <w:name w:val="页脚 字符"/>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Words>
  <Characters>1135</Characters>
  <Lines>9</Lines>
  <Paragraphs>2</Paragraphs>
  <TotalTime>5441</TotalTime>
  <ScaleCrop>false</ScaleCrop>
  <LinksUpToDate>false</LinksUpToDate>
  <CharactersWithSpaces>1331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2020-09-26T02:27:00Z</dcterms:created>
  <dc:creator>ThiknT450</dc:creator>
  <cp:lastModifiedBy>lenovo</cp:lastModifiedBy>
  <cp:lastPrinted>2024-01-11T17:26:00Z</cp:lastPrinted>
  <dcterms:modified xsi:type="dcterms:W3CDTF">2025-01-10T10:26:25Z</dcterms:modified>
  <dc:title>行政事业单位资产编报说明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