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hint="eastAsia" w:ascii="黑体" w:eastAsia="黑体"/>
          <w:color w:val="000000"/>
          <w:sz w:val="30"/>
          <w:szCs w:val="30"/>
        </w:rPr>
      </w:pPr>
      <w:r>
        <w:rPr>
          <w:rFonts w:hint="eastAsia" w:ascii="黑体" w:eastAsia="黑体"/>
          <w:color w:val="000000"/>
          <w:sz w:val="30"/>
          <w:szCs w:val="30"/>
        </w:rPr>
        <w:t>附件</w:t>
      </w:r>
    </w:p>
    <w:p>
      <w:pPr>
        <w:snapToGrid w:val="0"/>
        <w:spacing w:line="600" w:lineRule="atLeast"/>
        <w:rPr>
          <w:rFonts w:hint="eastAsia" w:ascii="黑体" w:eastAsia="黑体"/>
          <w:color w:val="000000"/>
          <w:sz w:val="30"/>
          <w:szCs w:val="30"/>
        </w:rPr>
      </w:pPr>
      <w:bookmarkStart w:id="0" w:name="_GoBack"/>
      <w:bookmarkEnd w:id="0"/>
    </w:p>
    <w:p>
      <w:pPr>
        <w:snapToGrid w:val="0"/>
        <w:spacing w:line="600" w:lineRule="atLeast"/>
        <w:jc w:val="center"/>
        <w:rPr>
          <w:b/>
          <w:color w:val="000000"/>
          <w:sz w:val="36"/>
          <w:szCs w:val="36"/>
        </w:rPr>
      </w:pPr>
      <w:r>
        <w:rPr>
          <w:rFonts w:hAnsi="宋体"/>
          <w:b/>
          <w:color w:val="000000"/>
          <w:sz w:val="36"/>
          <w:szCs w:val="36"/>
        </w:rPr>
        <w:t>上海市民政局</w:t>
      </w:r>
      <w:r>
        <w:rPr>
          <w:rFonts w:hint="eastAsia"/>
          <w:b/>
          <w:color w:val="000000"/>
          <w:sz w:val="36"/>
          <w:szCs w:val="36"/>
        </w:rPr>
        <w:t>“</w:t>
      </w:r>
      <w:r>
        <w:rPr>
          <w:rFonts w:hAnsi="宋体"/>
          <w:b/>
          <w:color w:val="000000"/>
          <w:sz w:val="36"/>
          <w:szCs w:val="36"/>
        </w:rPr>
        <w:t>谁执法谁普法</w:t>
      </w:r>
      <w:r>
        <w:rPr>
          <w:rFonts w:hint="eastAsia"/>
          <w:b/>
          <w:color w:val="000000"/>
          <w:sz w:val="36"/>
          <w:szCs w:val="36"/>
        </w:rPr>
        <w:t>”</w:t>
      </w:r>
      <w:r>
        <w:rPr>
          <w:rFonts w:hAnsi="宋体"/>
          <w:b/>
          <w:color w:val="000000"/>
          <w:sz w:val="36"/>
          <w:szCs w:val="36"/>
        </w:rPr>
        <w:t>履职报告评议指标</w:t>
      </w:r>
    </w:p>
    <w:p>
      <w:pPr>
        <w:snapToGrid w:val="0"/>
        <w:spacing w:line="600" w:lineRule="atLeast"/>
        <w:ind w:firstLine="600" w:firstLineChars="200"/>
        <w:rPr>
          <w:rFonts w:hint="eastAsia" w:eastAsia="仿宋_GB2312"/>
          <w:color w:val="000000"/>
          <w:sz w:val="30"/>
          <w:szCs w:val="30"/>
        </w:rPr>
      </w:pPr>
    </w:p>
    <w:tbl>
      <w:tblPr>
        <w:tblStyle w:val="2"/>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4340"/>
        <w:gridCol w:w="1916"/>
        <w:gridCol w:w="1532"/>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napToGrid w:val="0"/>
              <w:spacing w:line="240" w:lineRule="auto"/>
              <w:contextualSpacing/>
              <w:jc w:val="center"/>
              <w:rPr>
                <w:rFonts w:hint="eastAsia" w:ascii="黑体" w:eastAsia="黑体"/>
                <w:szCs w:val="21"/>
              </w:rPr>
            </w:pPr>
            <w:r>
              <w:rPr>
                <w:rFonts w:hint="eastAsia" w:ascii="黑体" w:hAnsi="宋体" w:eastAsia="黑体"/>
                <w:szCs w:val="21"/>
              </w:rPr>
              <w:t>项目</w:t>
            </w:r>
          </w:p>
          <w:p>
            <w:pPr>
              <w:snapToGrid w:val="0"/>
              <w:spacing w:line="240" w:lineRule="auto"/>
              <w:contextualSpacing/>
              <w:jc w:val="center"/>
              <w:rPr>
                <w:rFonts w:hint="eastAsia" w:ascii="黑体" w:eastAsia="黑体"/>
                <w:szCs w:val="21"/>
              </w:rPr>
            </w:pPr>
            <w:r>
              <w:rPr>
                <w:rFonts w:hint="eastAsia" w:ascii="黑体" w:hAnsi="宋体" w:eastAsia="黑体"/>
                <w:szCs w:val="21"/>
              </w:rPr>
              <w:t>分值</w:t>
            </w:r>
          </w:p>
        </w:tc>
        <w:tc>
          <w:tcPr>
            <w:tcW w:w="4340" w:type="dxa"/>
            <w:noWrap w:val="0"/>
            <w:vAlign w:val="center"/>
          </w:tcPr>
          <w:p>
            <w:pPr>
              <w:snapToGrid w:val="0"/>
              <w:spacing w:line="240" w:lineRule="auto"/>
              <w:contextualSpacing/>
              <w:jc w:val="center"/>
              <w:rPr>
                <w:rFonts w:hint="eastAsia" w:ascii="黑体" w:eastAsia="黑体"/>
                <w:szCs w:val="21"/>
              </w:rPr>
            </w:pPr>
            <w:r>
              <w:rPr>
                <w:rFonts w:hint="eastAsia" w:ascii="黑体" w:hAnsi="宋体" w:eastAsia="黑体"/>
                <w:szCs w:val="21"/>
              </w:rPr>
              <w:t>评分标准</w:t>
            </w:r>
          </w:p>
        </w:tc>
        <w:tc>
          <w:tcPr>
            <w:tcW w:w="1916" w:type="dxa"/>
            <w:noWrap w:val="0"/>
            <w:vAlign w:val="center"/>
          </w:tcPr>
          <w:p>
            <w:pPr>
              <w:snapToGrid w:val="0"/>
              <w:spacing w:line="240" w:lineRule="auto"/>
              <w:contextualSpacing/>
              <w:jc w:val="center"/>
              <w:rPr>
                <w:rFonts w:hint="eastAsia" w:ascii="黑体" w:eastAsia="黑体"/>
                <w:szCs w:val="21"/>
              </w:rPr>
            </w:pPr>
            <w:r>
              <w:rPr>
                <w:rFonts w:hint="eastAsia" w:ascii="黑体" w:hAnsi="宋体" w:eastAsia="黑体"/>
                <w:szCs w:val="21"/>
              </w:rPr>
              <w:t>记分依据</w:t>
            </w:r>
          </w:p>
        </w:tc>
        <w:tc>
          <w:tcPr>
            <w:tcW w:w="1532" w:type="dxa"/>
            <w:noWrap w:val="0"/>
            <w:vAlign w:val="center"/>
          </w:tcPr>
          <w:p>
            <w:pPr>
              <w:snapToGrid w:val="0"/>
              <w:spacing w:line="240" w:lineRule="auto"/>
              <w:contextualSpacing/>
              <w:jc w:val="center"/>
              <w:rPr>
                <w:rFonts w:hint="eastAsia" w:ascii="黑体" w:eastAsia="黑体"/>
                <w:szCs w:val="21"/>
              </w:rPr>
            </w:pPr>
            <w:r>
              <w:rPr>
                <w:rFonts w:hint="eastAsia" w:ascii="黑体" w:hAnsi="宋体" w:eastAsia="黑体"/>
                <w:szCs w:val="21"/>
              </w:rPr>
              <w:t>主要责任部门</w:t>
            </w:r>
          </w:p>
        </w:tc>
        <w:tc>
          <w:tcPr>
            <w:tcW w:w="735" w:type="dxa"/>
            <w:noWrap w:val="0"/>
            <w:vAlign w:val="center"/>
          </w:tcPr>
          <w:p>
            <w:pPr>
              <w:snapToGrid w:val="0"/>
              <w:spacing w:line="240" w:lineRule="auto"/>
              <w:contextualSpacing/>
              <w:jc w:val="center"/>
              <w:rPr>
                <w:rFonts w:hint="eastAsia" w:ascii="黑体" w:eastAsia="黑体"/>
                <w:szCs w:val="21"/>
              </w:rPr>
            </w:pPr>
            <w:r>
              <w:rPr>
                <w:rFonts w:hint="eastAsia" w:ascii="黑体" w:hAnsi="宋体" w:eastAsia="黑体"/>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68" w:type="dxa"/>
            <w:vMerge w:val="restart"/>
            <w:noWrap w:val="0"/>
            <w:vAlign w:val="center"/>
          </w:tcPr>
          <w:p>
            <w:pPr>
              <w:snapToGrid w:val="0"/>
              <w:spacing w:line="240" w:lineRule="auto"/>
              <w:jc w:val="center"/>
              <w:rPr>
                <w:szCs w:val="21"/>
              </w:rPr>
            </w:pPr>
            <w:r>
              <w:rPr>
                <w:rFonts w:hAnsi="宋体"/>
                <w:szCs w:val="21"/>
              </w:rPr>
              <w:t>普法责任制机制建设（</w:t>
            </w:r>
            <w:r>
              <w:rPr>
                <w:szCs w:val="21"/>
              </w:rPr>
              <w:t>15</w:t>
            </w:r>
            <w:r>
              <w:rPr>
                <w:rFonts w:hAnsi="宋体"/>
                <w:szCs w:val="21"/>
              </w:rPr>
              <w:t>分）</w:t>
            </w:r>
          </w:p>
        </w:tc>
        <w:tc>
          <w:tcPr>
            <w:tcW w:w="4340" w:type="dxa"/>
            <w:noWrap w:val="0"/>
            <w:vAlign w:val="center"/>
          </w:tcPr>
          <w:p>
            <w:pPr>
              <w:snapToGrid w:val="0"/>
              <w:spacing w:line="240" w:lineRule="auto"/>
              <w:rPr>
                <w:szCs w:val="21"/>
              </w:rPr>
            </w:pPr>
            <w:r>
              <w:rPr>
                <w:szCs w:val="21"/>
              </w:rPr>
              <w:t>1</w:t>
            </w:r>
            <w:r>
              <w:rPr>
                <w:rFonts w:hAnsi="宋体"/>
                <w:szCs w:val="21"/>
              </w:rPr>
              <w:t>、制定本部门、本单位普法责任制清单（</w:t>
            </w:r>
            <w:r>
              <w:rPr>
                <w:szCs w:val="21"/>
              </w:rPr>
              <w:t>3</w:t>
            </w:r>
            <w:r>
              <w:rPr>
                <w:rFonts w:hAnsi="宋体"/>
                <w:szCs w:val="21"/>
              </w:rPr>
              <w:t>分），在本部门、本单位门户网站向社会公布，并向市法宣办和上级主管部门备案（</w:t>
            </w:r>
            <w:r>
              <w:rPr>
                <w:szCs w:val="21"/>
              </w:rPr>
              <w:t>2</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提供部门普法责任清单、相关工作台帐、公告公示</w:t>
            </w:r>
          </w:p>
        </w:tc>
        <w:tc>
          <w:tcPr>
            <w:tcW w:w="1532" w:type="dxa"/>
            <w:noWrap w:val="0"/>
            <w:vAlign w:val="center"/>
          </w:tcPr>
          <w:p>
            <w:pPr>
              <w:snapToGrid w:val="0"/>
              <w:spacing w:line="240" w:lineRule="auto"/>
              <w:rPr>
                <w:rFonts w:hint="eastAsia"/>
                <w:spacing w:val="-6"/>
                <w:szCs w:val="21"/>
              </w:rPr>
            </w:pPr>
            <w:r>
              <w:rPr>
                <w:rFonts w:hAnsi="宋体"/>
                <w:spacing w:val="-6"/>
                <w:szCs w:val="21"/>
              </w:rPr>
              <w:t>法规处、其它各处室、执法总队</w:t>
            </w:r>
            <w:r>
              <w:rPr>
                <w:rFonts w:hint="eastAsia" w:hAnsi="宋体"/>
                <w:spacing w:val="-6"/>
                <w:szCs w:val="21"/>
              </w:rPr>
              <w:t>、各直管单位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2</w:t>
            </w:r>
            <w:r>
              <w:rPr>
                <w:rFonts w:hAnsi="宋体"/>
                <w:szCs w:val="21"/>
              </w:rPr>
              <w:t>、坚持党组（党委）对法治宣传教育的领导，将普法工作列为部门单位党政主要负责人职责（</w:t>
            </w:r>
            <w:r>
              <w:rPr>
                <w:szCs w:val="21"/>
              </w:rPr>
              <w:t>2</w:t>
            </w:r>
            <w:r>
              <w:rPr>
                <w:rFonts w:hAnsi="宋体"/>
                <w:szCs w:val="21"/>
              </w:rPr>
              <w:t>分）</w:t>
            </w:r>
            <w:r>
              <w:rPr>
                <w:rFonts w:hint="eastAsia" w:hAnsi="宋体"/>
                <w:szCs w:val="21"/>
              </w:rPr>
              <w:t>；</w:t>
            </w:r>
            <w:r>
              <w:rPr>
                <w:rFonts w:hAnsi="宋体"/>
                <w:szCs w:val="21"/>
              </w:rPr>
              <w:t>明确主管领导（</w:t>
            </w:r>
            <w:r>
              <w:rPr>
                <w:szCs w:val="21"/>
              </w:rPr>
              <w:t>2</w:t>
            </w:r>
            <w:r>
              <w:rPr>
                <w:rFonts w:hAnsi="宋体"/>
                <w:szCs w:val="21"/>
              </w:rPr>
              <w:t>分）</w:t>
            </w:r>
            <w:r>
              <w:rPr>
                <w:rFonts w:hint="eastAsia" w:hAnsi="宋体"/>
                <w:szCs w:val="21"/>
              </w:rPr>
              <w:t>；</w:t>
            </w:r>
            <w:r>
              <w:rPr>
                <w:rFonts w:hAnsi="宋体"/>
                <w:szCs w:val="21"/>
              </w:rPr>
              <w:t>保障普法工作所需经费和人员（</w:t>
            </w:r>
            <w:r>
              <w:rPr>
                <w:szCs w:val="21"/>
              </w:rPr>
              <w:t>2</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提供相关文件通知、制度规范。提供相关简报、图片。</w:t>
            </w:r>
          </w:p>
        </w:tc>
        <w:tc>
          <w:tcPr>
            <w:tcW w:w="1532" w:type="dxa"/>
            <w:noWrap w:val="0"/>
            <w:vAlign w:val="center"/>
          </w:tcPr>
          <w:p>
            <w:pPr>
              <w:snapToGrid w:val="0"/>
              <w:spacing w:line="240" w:lineRule="auto"/>
              <w:rPr>
                <w:rFonts w:hint="eastAsia"/>
                <w:szCs w:val="21"/>
              </w:rPr>
            </w:pPr>
            <w:r>
              <w:rPr>
                <w:rFonts w:hAnsi="宋体"/>
                <w:szCs w:val="21"/>
              </w:rPr>
              <w:t>组织人事处、法规处、计财处</w:t>
            </w:r>
            <w:r>
              <w:rPr>
                <w:rFonts w:hint="eastAsia" w:hAnsi="宋体"/>
                <w:szCs w:val="21"/>
              </w:rPr>
              <w:t>、</w:t>
            </w:r>
            <w:r>
              <w:rPr>
                <w:rFonts w:hAnsi="宋体"/>
                <w:szCs w:val="21"/>
              </w:rPr>
              <w:t>其它各处室、执法总队</w:t>
            </w:r>
            <w:r>
              <w:rPr>
                <w:rFonts w:hint="eastAsia" w:hAnsi="宋体"/>
                <w:szCs w:val="21"/>
              </w:rPr>
              <w:t>、各直管单位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3</w:t>
            </w:r>
            <w:r>
              <w:rPr>
                <w:rFonts w:hAnsi="宋体"/>
                <w:szCs w:val="21"/>
              </w:rPr>
              <w:t>、</w:t>
            </w:r>
            <w:r>
              <w:rPr>
                <w:rFonts w:hAnsi="宋体"/>
                <w:spacing w:val="-6"/>
                <w:szCs w:val="21"/>
              </w:rPr>
              <w:t>总结上年度普法工作情况，制定本部门、本单位年度普法计划和重点推进事项（</w:t>
            </w:r>
            <w:r>
              <w:rPr>
                <w:spacing w:val="-6"/>
                <w:szCs w:val="21"/>
              </w:rPr>
              <w:t>2</w:t>
            </w:r>
            <w:r>
              <w:rPr>
                <w:rFonts w:hAnsi="宋体"/>
                <w:spacing w:val="-6"/>
                <w:szCs w:val="21"/>
              </w:rPr>
              <w:t>分），结合年度绩效考核工作，每年</w:t>
            </w:r>
            <w:r>
              <w:rPr>
                <w:spacing w:val="-6"/>
                <w:szCs w:val="21"/>
              </w:rPr>
              <w:t>12</w:t>
            </w:r>
            <w:r>
              <w:rPr>
                <w:rFonts w:hAnsi="宋体"/>
                <w:spacing w:val="-6"/>
                <w:szCs w:val="21"/>
              </w:rPr>
              <w:t>月</w:t>
            </w:r>
            <w:r>
              <w:rPr>
                <w:spacing w:val="-6"/>
                <w:szCs w:val="21"/>
              </w:rPr>
              <w:t>31</w:t>
            </w:r>
            <w:r>
              <w:rPr>
                <w:rFonts w:hAnsi="宋体"/>
                <w:spacing w:val="-6"/>
                <w:szCs w:val="21"/>
              </w:rPr>
              <w:t>日前将普法总结、计划和重点推进事项报法规处备案（</w:t>
            </w:r>
            <w:r>
              <w:rPr>
                <w:spacing w:val="-6"/>
                <w:szCs w:val="21"/>
              </w:rPr>
              <w:t>2</w:t>
            </w:r>
            <w:r>
              <w:rPr>
                <w:rFonts w:hAnsi="宋体"/>
                <w:spacing w:val="-6"/>
                <w:szCs w:val="21"/>
              </w:rPr>
              <w:t>分）。</w:t>
            </w:r>
          </w:p>
        </w:tc>
        <w:tc>
          <w:tcPr>
            <w:tcW w:w="1916" w:type="dxa"/>
            <w:noWrap w:val="0"/>
            <w:vAlign w:val="center"/>
          </w:tcPr>
          <w:p>
            <w:pPr>
              <w:snapToGrid w:val="0"/>
              <w:spacing w:line="240" w:lineRule="auto"/>
              <w:rPr>
                <w:szCs w:val="21"/>
              </w:rPr>
            </w:pPr>
            <w:r>
              <w:rPr>
                <w:rFonts w:hAnsi="宋体"/>
                <w:szCs w:val="21"/>
              </w:rPr>
              <w:t>提供相关文件通知、总结、制度规范。提供相关简报、图片。</w:t>
            </w:r>
          </w:p>
        </w:tc>
        <w:tc>
          <w:tcPr>
            <w:tcW w:w="1532" w:type="dxa"/>
            <w:noWrap w:val="0"/>
            <w:vAlign w:val="center"/>
          </w:tcPr>
          <w:p>
            <w:pPr>
              <w:snapToGrid w:val="0"/>
              <w:spacing w:line="240" w:lineRule="auto"/>
              <w:rPr>
                <w:szCs w:val="21"/>
              </w:rPr>
            </w:pPr>
            <w:r>
              <w:rPr>
                <w:rFonts w:hAnsi="宋体"/>
                <w:szCs w:val="21"/>
              </w:rPr>
              <w:t>法规处、其它各处室、执法总队、各直管单位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368" w:type="dxa"/>
            <w:vMerge w:val="restart"/>
            <w:noWrap w:val="0"/>
            <w:vAlign w:val="center"/>
          </w:tcPr>
          <w:p>
            <w:pPr>
              <w:snapToGrid w:val="0"/>
              <w:spacing w:line="240" w:lineRule="auto"/>
              <w:jc w:val="center"/>
              <w:rPr>
                <w:szCs w:val="21"/>
              </w:rPr>
            </w:pPr>
            <w:r>
              <w:rPr>
                <w:rFonts w:hAnsi="宋体"/>
                <w:szCs w:val="21"/>
              </w:rPr>
              <w:t>做好本部门、本单位学法用法工作（</w:t>
            </w:r>
            <w:r>
              <w:rPr>
                <w:szCs w:val="21"/>
              </w:rPr>
              <w:t>24</w:t>
            </w:r>
            <w:r>
              <w:rPr>
                <w:rFonts w:hAnsi="宋体"/>
                <w:szCs w:val="21"/>
              </w:rPr>
              <w:t>分）</w:t>
            </w:r>
          </w:p>
        </w:tc>
        <w:tc>
          <w:tcPr>
            <w:tcW w:w="4340" w:type="dxa"/>
            <w:noWrap w:val="0"/>
            <w:vAlign w:val="center"/>
          </w:tcPr>
          <w:p>
            <w:pPr>
              <w:snapToGrid w:val="0"/>
              <w:spacing w:line="240" w:lineRule="auto"/>
              <w:rPr>
                <w:szCs w:val="21"/>
              </w:rPr>
            </w:pPr>
            <w:r>
              <w:rPr>
                <w:szCs w:val="21"/>
              </w:rPr>
              <w:t>4</w:t>
            </w:r>
            <w:r>
              <w:rPr>
                <w:rFonts w:hAnsi="宋体"/>
                <w:szCs w:val="21"/>
              </w:rPr>
              <w:t>、建立完善党组（党委）中心组学法和领导干部集体学法制度（</w:t>
            </w:r>
            <w:r>
              <w:rPr>
                <w:szCs w:val="21"/>
              </w:rPr>
              <w:t>2</w:t>
            </w:r>
            <w:r>
              <w:rPr>
                <w:rFonts w:hAnsi="宋体"/>
                <w:szCs w:val="21"/>
              </w:rPr>
              <w:t>分）。局每年举办两期以上法治相关培训或专题讲座（</w:t>
            </w:r>
            <w:r>
              <w:rPr>
                <w:szCs w:val="21"/>
              </w:rPr>
              <w:t>1</w:t>
            </w:r>
            <w:r>
              <w:rPr>
                <w:rFonts w:hAnsi="宋体"/>
                <w:szCs w:val="21"/>
              </w:rPr>
              <w:t>分）。组织机关工作人员特别是领导干部旁听庭审活动（</w:t>
            </w:r>
            <w:r>
              <w:rPr>
                <w:szCs w:val="21"/>
              </w:rPr>
              <w:t>1</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提供相关制度、通知等。提供培训班、专题讲座学法记录以及相关简报、图片或视频。</w:t>
            </w:r>
          </w:p>
        </w:tc>
        <w:tc>
          <w:tcPr>
            <w:tcW w:w="1532" w:type="dxa"/>
            <w:noWrap w:val="0"/>
            <w:vAlign w:val="center"/>
          </w:tcPr>
          <w:p>
            <w:pPr>
              <w:snapToGrid w:val="0"/>
              <w:spacing w:line="240" w:lineRule="auto"/>
              <w:rPr>
                <w:szCs w:val="21"/>
              </w:rPr>
            </w:pPr>
            <w:r>
              <w:rPr>
                <w:rFonts w:hAnsi="宋体"/>
                <w:szCs w:val="21"/>
              </w:rPr>
              <w:t>组织人事处、法规处</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5</w:t>
            </w:r>
            <w:r>
              <w:rPr>
                <w:rFonts w:hAnsi="宋体"/>
                <w:szCs w:val="21"/>
              </w:rPr>
              <w:t>、深入学习宣传贯彻习近平法治思想。加强宪法、党章和党内法规学习教育培训，增强国家公职人员履行宪法使命的自觉性和坚定性，引导党员领导干部增强党章党规党纪意识。（</w:t>
            </w:r>
            <w:r>
              <w:rPr>
                <w:szCs w:val="21"/>
              </w:rPr>
              <w:t>3</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提供相关制度文件。提供党章和党内法规学习记录以及相关简报、图片或视频。</w:t>
            </w:r>
          </w:p>
        </w:tc>
        <w:tc>
          <w:tcPr>
            <w:tcW w:w="1532" w:type="dxa"/>
            <w:noWrap w:val="0"/>
            <w:vAlign w:val="center"/>
          </w:tcPr>
          <w:p>
            <w:pPr>
              <w:snapToGrid w:val="0"/>
              <w:spacing w:line="240" w:lineRule="auto"/>
              <w:rPr>
                <w:szCs w:val="21"/>
              </w:rPr>
            </w:pPr>
            <w:r>
              <w:rPr>
                <w:rFonts w:hAnsi="宋体"/>
                <w:szCs w:val="21"/>
              </w:rPr>
              <w:t>法规处、组织人事处、直属机关党委、其它各处室、执法总队、各直管单位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6</w:t>
            </w:r>
            <w:r>
              <w:rPr>
                <w:rFonts w:hAnsi="宋体"/>
                <w:szCs w:val="21"/>
              </w:rPr>
              <w:t>、实行依法行政、依法管理，加强权力监督（</w:t>
            </w:r>
            <w:r>
              <w:rPr>
                <w:szCs w:val="21"/>
              </w:rPr>
              <w:t>2</w:t>
            </w:r>
            <w:r>
              <w:rPr>
                <w:rFonts w:hAnsi="宋体"/>
                <w:szCs w:val="21"/>
              </w:rPr>
              <w:t>分）。建立法律顾问、公职律师或法律咨询制度，落实行政诉讼案件行政负责人依法出庭应诉制度。（</w:t>
            </w:r>
            <w:r>
              <w:rPr>
                <w:szCs w:val="21"/>
              </w:rPr>
              <w:t>2</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提供相关制度文件。提供相关简报、图片或视频。</w:t>
            </w:r>
          </w:p>
        </w:tc>
        <w:tc>
          <w:tcPr>
            <w:tcW w:w="1532" w:type="dxa"/>
            <w:noWrap w:val="0"/>
            <w:vAlign w:val="center"/>
          </w:tcPr>
          <w:p>
            <w:pPr>
              <w:snapToGrid w:val="0"/>
              <w:spacing w:line="240" w:lineRule="auto"/>
              <w:rPr>
                <w:szCs w:val="21"/>
              </w:rPr>
            </w:pPr>
            <w:r>
              <w:rPr>
                <w:rFonts w:hAnsi="宋体"/>
                <w:szCs w:val="21"/>
              </w:rPr>
              <w:t>法规处、各相关处室、执法总队</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7</w:t>
            </w:r>
            <w:r>
              <w:rPr>
                <w:rFonts w:hAnsi="宋体"/>
                <w:szCs w:val="21"/>
              </w:rPr>
              <w:t>、把尊法学法守法用法情况作为公务员年度考核重要内容。把学法用法、重大事项依法决策、依法履职和推进法治建设等纳入领导干部工作实绩的重要内容，实现述职述廉述法</w:t>
            </w:r>
            <w:r>
              <w:rPr>
                <w:szCs w:val="21"/>
              </w:rPr>
              <w:t>“</w:t>
            </w:r>
            <w:r>
              <w:rPr>
                <w:rFonts w:hAnsi="宋体"/>
                <w:szCs w:val="21"/>
              </w:rPr>
              <w:t>三位一体</w:t>
            </w:r>
            <w:r>
              <w:rPr>
                <w:szCs w:val="21"/>
              </w:rPr>
              <w:t>”</w:t>
            </w:r>
            <w:r>
              <w:rPr>
                <w:rFonts w:hAnsi="宋体"/>
                <w:szCs w:val="21"/>
              </w:rPr>
              <w:t>考核（</w:t>
            </w:r>
            <w:r>
              <w:rPr>
                <w:szCs w:val="21"/>
              </w:rPr>
              <w:t>3</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提供相关制度文件，通知。提供相关考核记录、档案。</w:t>
            </w:r>
          </w:p>
        </w:tc>
        <w:tc>
          <w:tcPr>
            <w:tcW w:w="1532" w:type="dxa"/>
            <w:noWrap w:val="0"/>
            <w:vAlign w:val="center"/>
          </w:tcPr>
          <w:p>
            <w:pPr>
              <w:snapToGrid w:val="0"/>
              <w:spacing w:line="240" w:lineRule="auto"/>
              <w:rPr>
                <w:szCs w:val="21"/>
              </w:rPr>
            </w:pPr>
            <w:r>
              <w:rPr>
                <w:rFonts w:hAnsi="宋体"/>
                <w:szCs w:val="21"/>
              </w:rPr>
              <w:t>组织人事处、法规处、其它各处室、执法总队、各直管单位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8</w:t>
            </w:r>
            <w:r>
              <w:rPr>
                <w:rFonts w:hAnsi="宋体"/>
                <w:szCs w:val="21"/>
              </w:rPr>
              <w:t>、加强民政机关公务员法治教育，在其他各类培训课程中融入法治教育内容。严格实行行政执法人员持证上岗和资格管理制度，行政执法人员每人每年参加综合法律知识培训时间不少于</w:t>
            </w:r>
            <w:r>
              <w:rPr>
                <w:szCs w:val="21"/>
              </w:rPr>
              <w:t>40</w:t>
            </w:r>
            <w:r>
              <w:rPr>
                <w:rFonts w:hAnsi="宋体"/>
                <w:szCs w:val="21"/>
              </w:rPr>
              <w:t>课时（</w:t>
            </w:r>
            <w:r>
              <w:rPr>
                <w:szCs w:val="21"/>
              </w:rPr>
              <w:t>3</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提供公务员、行政执法人员培训统计情况，培训通知、教材，以及相关简报、图片或视频。</w:t>
            </w:r>
          </w:p>
        </w:tc>
        <w:tc>
          <w:tcPr>
            <w:tcW w:w="1532" w:type="dxa"/>
            <w:noWrap w:val="0"/>
            <w:vAlign w:val="center"/>
          </w:tcPr>
          <w:p>
            <w:pPr>
              <w:snapToGrid w:val="0"/>
              <w:spacing w:line="240" w:lineRule="auto"/>
              <w:rPr>
                <w:szCs w:val="21"/>
              </w:rPr>
            </w:pPr>
            <w:r>
              <w:rPr>
                <w:rFonts w:hAnsi="宋体"/>
                <w:szCs w:val="21"/>
              </w:rPr>
              <w:t>组织人事处、法规处、执法总队、其它各处室</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restart"/>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9</w:t>
            </w:r>
            <w:r>
              <w:rPr>
                <w:rFonts w:hAnsi="宋体"/>
                <w:szCs w:val="21"/>
              </w:rPr>
              <w:t>、组织本部门、本单位处级及以下国家工作人员每年参加一次学法用法考试。本部门单独组织学法用法考试的，报送相关情况（</w:t>
            </w:r>
            <w:r>
              <w:rPr>
                <w:szCs w:val="21"/>
              </w:rPr>
              <w:t>4</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提供相关制度文件、年度学法考试通知、相关简报、图片或视频。</w:t>
            </w:r>
          </w:p>
        </w:tc>
        <w:tc>
          <w:tcPr>
            <w:tcW w:w="1532" w:type="dxa"/>
            <w:noWrap w:val="0"/>
            <w:vAlign w:val="center"/>
          </w:tcPr>
          <w:p>
            <w:pPr>
              <w:snapToGrid w:val="0"/>
              <w:spacing w:line="240" w:lineRule="auto"/>
              <w:rPr>
                <w:szCs w:val="21"/>
              </w:rPr>
            </w:pPr>
            <w:r>
              <w:rPr>
                <w:rFonts w:hAnsi="宋体"/>
                <w:szCs w:val="21"/>
              </w:rPr>
              <w:t>组织人事处、其它各处室、执法总队、各直管单位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10</w:t>
            </w:r>
            <w:r>
              <w:rPr>
                <w:rFonts w:hAnsi="宋体"/>
                <w:szCs w:val="21"/>
              </w:rPr>
              <w:t>、加强对领导干部任职法律知识考察，将依法行政能力作为领导干部正式任职的重要参考（</w:t>
            </w:r>
            <w:r>
              <w:rPr>
                <w:szCs w:val="21"/>
              </w:rPr>
              <w:t>2</w:t>
            </w:r>
            <w:r>
              <w:rPr>
                <w:rFonts w:hAnsi="宋体"/>
                <w:szCs w:val="21"/>
              </w:rPr>
              <w:t>分）。依照法律规定组织参加本市各级国家工作人员就职时的宪法宣誓活动（</w:t>
            </w:r>
            <w:r>
              <w:rPr>
                <w:szCs w:val="21"/>
              </w:rPr>
              <w:t>1</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提供相关制度文件、通知。提供相关考核记录、档案。</w:t>
            </w:r>
          </w:p>
        </w:tc>
        <w:tc>
          <w:tcPr>
            <w:tcW w:w="1532" w:type="dxa"/>
            <w:noWrap w:val="0"/>
            <w:vAlign w:val="center"/>
          </w:tcPr>
          <w:p>
            <w:pPr>
              <w:snapToGrid w:val="0"/>
              <w:spacing w:line="240" w:lineRule="auto"/>
              <w:rPr>
                <w:szCs w:val="21"/>
              </w:rPr>
            </w:pPr>
            <w:r>
              <w:rPr>
                <w:rFonts w:hAnsi="宋体"/>
                <w:szCs w:val="21"/>
              </w:rPr>
              <w:t>组织人事处、其它各处室、执法总队</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restart"/>
            <w:noWrap w:val="0"/>
            <w:vAlign w:val="center"/>
          </w:tcPr>
          <w:p>
            <w:pPr>
              <w:snapToGrid w:val="0"/>
              <w:spacing w:line="240" w:lineRule="auto"/>
              <w:jc w:val="center"/>
              <w:rPr>
                <w:rFonts w:hint="eastAsia" w:hAnsi="宋体"/>
                <w:szCs w:val="21"/>
              </w:rPr>
            </w:pPr>
            <w:r>
              <w:rPr>
                <w:rFonts w:hAnsi="宋体"/>
                <w:szCs w:val="21"/>
              </w:rPr>
              <w:t>开展社会</w:t>
            </w:r>
          </w:p>
          <w:p>
            <w:pPr>
              <w:snapToGrid w:val="0"/>
              <w:spacing w:line="240" w:lineRule="auto"/>
              <w:jc w:val="center"/>
              <w:rPr>
                <w:szCs w:val="21"/>
              </w:rPr>
            </w:pPr>
            <w:r>
              <w:rPr>
                <w:rFonts w:hAnsi="宋体"/>
                <w:szCs w:val="21"/>
              </w:rPr>
              <w:t>普法宣传</w:t>
            </w:r>
          </w:p>
          <w:p>
            <w:pPr>
              <w:snapToGrid w:val="0"/>
              <w:spacing w:line="240" w:lineRule="auto"/>
              <w:jc w:val="center"/>
              <w:rPr>
                <w:szCs w:val="21"/>
              </w:rPr>
            </w:pPr>
            <w:r>
              <w:rPr>
                <w:rFonts w:hAnsi="宋体"/>
                <w:szCs w:val="21"/>
              </w:rPr>
              <w:t>（</w:t>
            </w:r>
            <w:r>
              <w:rPr>
                <w:szCs w:val="21"/>
              </w:rPr>
              <w:t>25</w:t>
            </w:r>
            <w:r>
              <w:rPr>
                <w:rFonts w:hAnsi="宋体"/>
                <w:szCs w:val="21"/>
              </w:rPr>
              <w:t>分）</w:t>
            </w:r>
          </w:p>
        </w:tc>
        <w:tc>
          <w:tcPr>
            <w:tcW w:w="4340" w:type="dxa"/>
            <w:noWrap w:val="0"/>
            <w:vAlign w:val="center"/>
          </w:tcPr>
          <w:p>
            <w:pPr>
              <w:snapToGrid w:val="0"/>
              <w:spacing w:line="240" w:lineRule="auto"/>
              <w:rPr>
                <w:szCs w:val="21"/>
              </w:rPr>
            </w:pPr>
            <w:r>
              <w:rPr>
                <w:szCs w:val="21"/>
              </w:rPr>
              <w:t>11</w:t>
            </w:r>
            <w:r>
              <w:rPr>
                <w:rFonts w:hAnsi="宋体"/>
                <w:szCs w:val="21"/>
              </w:rPr>
              <w:t>、组建本系统、本部门、本单位相对固定普法宣传队伍（</w:t>
            </w:r>
            <w:r>
              <w:rPr>
                <w:szCs w:val="21"/>
              </w:rPr>
              <w:t>3</w:t>
            </w:r>
            <w:r>
              <w:rPr>
                <w:rFonts w:hAnsi="宋体"/>
                <w:szCs w:val="21"/>
              </w:rPr>
              <w:t>分）。选派人员加入各级普法主管部门组织的普法讲师团和普法志愿者活动（</w:t>
            </w:r>
            <w:r>
              <w:rPr>
                <w:szCs w:val="21"/>
              </w:rPr>
              <w:t>2</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提供普法志愿者队伍和加入各级普法讲师团人员名单。提供开展公益行活动通知、简报、图片或视频。</w:t>
            </w:r>
          </w:p>
        </w:tc>
        <w:tc>
          <w:tcPr>
            <w:tcW w:w="1532" w:type="dxa"/>
            <w:noWrap w:val="0"/>
            <w:vAlign w:val="center"/>
          </w:tcPr>
          <w:p>
            <w:pPr>
              <w:snapToGrid w:val="0"/>
              <w:spacing w:line="240" w:lineRule="auto"/>
              <w:rPr>
                <w:szCs w:val="21"/>
              </w:rPr>
            </w:pPr>
            <w:r>
              <w:rPr>
                <w:rFonts w:hAnsi="宋体"/>
                <w:szCs w:val="21"/>
              </w:rPr>
              <w:t>法规处、其它各处室、执法总队、各有关直管单位。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12</w:t>
            </w:r>
            <w:r>
              <w:rPr>
                <w:rFonts w:hAnsi="宋体"/>
                <w:szCs w:val="21"/>
              </w:rPr>
              <w:t>、除涉及国家秘密、商业秘密和当事人隐私等规定情形依法不能公开外，执法的过程、执法的依据、执法的结果按照政务公开的要求向社会或特定对象公开，接受社会监督（</w:t>
            </w:r>
            <w:r>
              <w:rPr>
                <w:szCs w:val="21"/>
              </w:rPr>
              <w:t>4</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提供相关文件通知、制度规范。提供相关简报、图片或视频。</w:t>
            </w:r>
          </w:p>
        </w:tc>
        <w:tc>
          <w:tcPr>
            <w:tcW w:w="1532" w:type="dxa"/>
            <w:noWrap w:val="0"/>
            <w:vAlign w:val="center"/>
          </w:tcPr>
          <w:p>
            <w:pPr>
              <w:snapToGrid w:val="0"/>
              <w:spacing w:line="240" w:lineRule="auto"/>
              <w:rPr>
                <w:szCs w:val="21"/>
              </w:rPr>
            </w:pPr>
            <w:r>
              <w:rPr>
                <w:rFonts w:hAnsi="宋体"/>
                <w:szCs w:val="21"/>
              </w:rPr>
              <w:t>各处室、执法总队</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13</w:t>
            </w:r>
            <w:r>
              <w:rPr>
                <w:rFonts w:hAnsi="宋体"/>
                <w:szCs w:val="21"/>
              </w:rPr>
              <w:t>、利用民政地方立法和规范性文件起草制定过程以及新颁后向社会开展普法，促进社会公众的理解和认知（</w:t>
            </w:r>
            <w:r>
              <w:rPr>
                <w:szCs w:val="21"/>
              </w:rPr>
              <w:t>4</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提供相关文件通知、制度规范。提供相关简报、图片或视频。</w:t>
            </w:r>
          </w:p>
        </w:tc>
        <w:tc>
          <w:tcPr>
            <w:tcW w:w="1532" w:type="dxa"/>
            <w:noWrap w:val="0"/>
            <w:vAlign w:val="center"/>
          </w:tcPr>
          <w:p>
            <w:pPr>
              <w:snapToGrid w:val="0"/>
              <w:spacing w:line="240" w:lineRule="auto"/>
              <w:rPr>
                <w:szCs w:val="21"/>
              </w:rPr>
            </w:pPr>
            <w:r>
              <w:rPr>
                <w:rFonts w:hAnsi="宋体"/>
                <w:szCs w:val="21"/>
              </w:rPr>
              <w:t>法规处、各相关处室</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14</w:t>
            </w:r>
            <w:r>
              <w:rPr>
                <w:rFonts w:hAnsi="宋体"/>
                <w:szCs w:val="21"/>
              </w:rPr>
              <w:t>、坚持全员普法，编写普法工作指引，把普法责任落实到岗。在执法、管理、服务各环节、全过程开展面对面普法宣传，及时解疑释惑，把履行职能、文明管理、严格执法的过程，变成生动有效的普法实践活动（</w:t>
            </w:r>
            <w:r>
              <w:rPr>
                <w:szCs w:val="21"/>
              </w:rPr>
              <w:t>4</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提供普法工作指引和相关文件通知、制度规范、提供相关简报、图片或视频。</w:t>
            </w:r>
          </w:p>
        </w:tc>
        <w:tc>
          <w:tcPr>
            <w:tcW w:w="1532" w:type="dxa"/>
            <w:noWrap w:val="0"/>
            <w:vAlign w:val="center"/>
          </w:tcPr>
          <w:p>
            <w:pPr>
              <w:snapToGrid w:val="0"/>
              <w:spacing w:line="240" w:lineRule="auto"/>
              <w:rPr>
                <w:szCs w:val="21"/>
              </w:rPr>
            </w:pPr>
            <w:r>
              <w:rPr>
                <w:rFonts w:hAnsi="宋体"/>
                <w:szCs w:val="21"/>
              </w:rPr>
              <w:t>法规处、其它各处室、执法总队、各直管单位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15</w:t>
            </w:r>
            <w:r>
              <w:rPr>
                <w:rFonts w:hAnsi="宋体"/>
                <w:szCs w:val="21"/>
              </w:rPr>
              <w:t>、在上海市宪法宣传周期间，结合社区治理、社区居民自治等内容，发挥志愿者、社区社会组织等作用，开展宪法进社区等集中法治宣传活动（</w:t>
            </w:r>
            <w:r>
              <w:rPr>
                <w:szCs w:val="21"/>
              </w:rPr>
              <w:t>2</w:t>
            </w:r>
            <w:r>
              <w:rPr>
                <w:rFonts w:hAnsi="宋体"/>
                <w:szCs w:val="21"/>
              </w:rPr>
              <w:t>分）。民政举办慈善日、敬老日等大型社会活动时，结合活动主题，采取多种方式，开展法治宣传教育（</w:t>
            </w:r>
            <w:r>
              <w:rPr>
                <w:szCs w:val="21"/>
              </w:rPr>
              <w:t>2</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提供相关文件通知、制度规范。提供相关简报、图片或视频。</w:t>
            </w:r>
          </w:p>
        </w:tc>
        <w:tc>
          <w:tcPr>
            <w:tcW w:w="1532" w:type="dxa"/>
            <w:noWrap w:val="0"/>
            <w:vAlign w:val="center"/>
          </w:tcPr>
          <w:p>
            <w:pPr>
              <w:snapToGrid w:val="0"/>
              <w:spacing w:line="240" w:lineRule="auto"/>
              <w:rPr>
                <w:szCs w:val="21"/>
              </w:rPr>
            </w:pPr>
            <w:r>
              <w:rPr>
                <w:rFonts w:hAnsi="宋体"/>
                <w:szCs w:val="21"/>
              </w:rPr>
              <w:t>法规处、基政处、慈善处、养老处、其它相关处室、执法总队、各直管单位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16</w:t>
            </w:r>
            <w:r>
              <w:rPr>
                <w:rFonts w:hAnsi="宋体"/>
                <w:szCs w:val="21"/>
              </w:rPr>
              <w:t>、在宣传据以履行职能、职责的相关法律法规的同时，宣传普及宪法和基本法律知识，承担应尽的普法社会责任（</w:t>
            </w:r>
            <w:r>
              <w:rPr>
                <w:szCs w:val="21"/>
              </w:rPr>
              <w:t>4</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提供相关文件通知、制度规范。提供相关简报、图片或视频。</w:t>
            </w:r>
          </w:p>
        </w:tc>
        <w:tc>
          <w:tcPr>
            <w:tcW w:w="1532" w:type="dxa"/>
            <w:noWrap w:val="0"/>
            <w:vAlign w:val="center"/>
          </w:tcPr>
          <w:p>
            <w:pPr>
              <w:snapToGrid w:val="0"/>
              <w:spacing w:line="240" w:lineRule="auto"/>
              <w:rPr>
                <w:szCs w:val="21"/>
              </w:rPr>
            </w:pPr>
            <w:r>
              <w:rPr>
                <w:rFonts w:hAnsi="宋体"/>
                <w:szCs w:val="21"/>
              </w:rPr>
              <w:t>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restart"/>
            <w:noWrap w:val="0"/>
            <w:vAlign w:val="center"/>
          </w:tcPr>
          <w:p>
            <w:pPr>
              <w:snapToGrid w:val="0"/>
              <w:spacing w:line="240" w:lineRule="auto"/>
              <w:jc w:val="center"/>
              <w:rPr>
                <w:rFonts w:hint="eastAsia" w:hAnsi="宋体"/>
                <w:szCs w:val="21"/>
              </w:rPr>
            </w:pPr>
            <w:r>
              <w:rPr>
                <w:rFonts w:hAnsi="宋体"/>
                <w:szCs w:val="21"/>
              </w:rPr>
              <w:t>创新普法</w:t>
            </w:r>
          </w:p>
          <w:p>
            <w:pPr>
              <w:snapToGrid w:val="0"/>
              <w:spacing w:line="240" w:lineRule="auto"/>
              <w:jc w:val="center"/>
              <w:rPr>
                <w:szCs w:val="21"/>
              </w:rPr>
            </w:pPr>
            <w:r>
              <w:rPr>
                <w:rFonts w:hAnsi="宋体"/>
                <w:szCs w:val="21"/>
              </w:rPr>
              <w:t>形式（</w:t>
            </w:r>
            <w:r>
              <w:rPr>
                <w:szCs w:val="21"/>
              </w:rPr>
              <w:t>28</w:t>
            </w:r>
            <w:r>
              <w:rPr>
                <w:rFonts w:hAnsi="宋体"/>
                <w:szCs w:val="21"/>
              </w:rPr>
              <w:t>分）</w:t>
            </w:r>
          </w:p>
        </w:tc>
        <w:tc>
          <w:tcPr>
            <w:tcW w:w="4340" w:type="dxa"/>
            <w:noWrap w:val="0"/>
            <w:vAlign w:val="center"/>
          </w:tcPr>
          <w:p>
            <w:pPr>
              <w:snapToGrid w:val="0"/>
              <w:spacing w:line="240" w:lineRule="auto"/>
              <w:rPr>
                <w:szCs w:val="21"/>
              </w:rPr>
            </w:pPr>
            <w:r>
              <w:rPr>
                <w:szCs w:val="21"/>
              </w:rPr>
              <w:t>17</w:t>
            </w:r>
            <w:r>
              <w:rPr>
                <w:rFonts w:hAnsi="宋体"/>
                <w:szCs w:val="21"/>
              </w:rPr>
              <w:t>、不断完善市民政局以案释法工作机制（</w:t>
            </w:r>
            <w:r>
              <w:rPr>
                <w:szCs w:val="21"/>
              </w:rPr>
              <w:t>1</w:t>
            </w:r>
            <w:r>
              <w:rPr>
                <w:rFonts w:hAnsi="宋体"/>
                <w:szCs w:val="21"/>
              </w:rPr>
              <w:t>分）。建立健全民政以案释法典型案例库，定期面向社会公众发布以案释法典型案例（</w:t>
            </w:r>
            <w:r>
              <w:rPr>
                <w:szCs w:val="21"/>
              </w:rPr>
              <w:t>2</w:t>
            </w:r>
            <w:r>
              <w:rPr>
                <w:rFonts w:hAnsi="宋体"/>
                <w:szCs w:val="21"/>
              </w:rPr>
              <w:t>分）。执法总队每年上报案例不少于</w:t>
            </w:r>
            <w:r>
              <w:rPr>
                <w:szCs w:val="21"/>
              </w:rPr>
              <w:t>2</w:t>
            </w:r>
            <w:r>
              <w:rPr>
                <w:rFonts w:hAnsi="宋体"/>
                <w:szCs w:val="21"/>
              </w:rPr>
              <w:t>个，鼓励其他部门、单位结合工作实际申报相关案例（在</w:t>
            </w:r>
            <w:r>
              <w:rPr>
                <w:szCs w:val="21"/>
              </w:rPr>
              <w:t>3</w:t>
            </w:r>
            <w:r>
              <w:rPr>
                <w:rFonts w:hAnsi="宋体"/>
                <w:szCs w:val="21"/>
              </w:rPr>
              <w:t>分以内评价，每成功报送</w:t>
            </w:r>
            <w:r>
              <w:rPr>
                <w:szCs w:val="21"/>
              </w:rPr>
              <w:t>1</w:t>
            </w:r>
            <w:r>
              <w:rPr>
                <w:rFonts w:hAnsi="宋体"/>
                <w:szCs w:val="21"/>
              </w:rPr>
              <w:t>个案例得</w:t>
            </w:r>
            <w:r>
              <w:rPr>
                <w:szCs w:val="21"/>
              </w:rPr>
              <w:t>0.5</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提供相关文件通知、制度规范。案例名录。</w:t>
            </w:r>
          </w:p>
        </w:tc>
        <w:tc>
          <w:tcPr>
            <w:tcW w:w="1532" w:type="dxa"/>
            <w:noWrap w:val="0"/>
            <w:vAlign w:val="center"/>
          </w:tcPr>
          <w:p>
            <w:pPr>
              <w:snapToGrid w:val="0"/>
              <w:spacing w:line="240" w:lineRule="auto"/>
              <w:rPr>
                <w:szCs w:val="21"/>
              </w:rPr>
            </w:pPr>
            <w:r>
              <w:rPr>
                <w:rFonts w:hAnsi="宋体"/>
                <w:szCs w:val="21"/>
              </w:rPr>
              <w:t>执法总队、法规处、其它各处室</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18</w:t>
            </w:r>
            <w:r>
              <w:rPr>
                <w:rFonts w:hAnsi="宋体"/>
                <w:szCs w:val="21"/>
              </w:rPr>
              <w:t>、在民政窗口岗位以及电子显示屏、电子触摸屏等对外服务平台上增设法治宣传功能，运用公众服务窗口常态开展法治宣传（</w:t>
            </w:r>
            <w:r>
              <w:rPr>
                <w:szCs w:val="21"/>
              </w:rPr>
              <w:t>4</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提供相关文件通知、制度规范。提供相关简报、图片或视频。</w:t>
            </w:r>
          </w:p>
        </w:tc>
        <w:tc>
          <w:tcPr>
            <w:tcW w:w="1532" w:type="dxa"/>
            <w:noWrap w:val="0"/>
            <w:vAlign w:val="center"/>
          </w:tcPr>
          <w:p>
            <w:pPr>
              <w:snapToGrid w:val="0"/>
              <w:spacing w:line="240" w:lineRule="auto"/>
              <w:rPr>
                <w:szCs w:val="21"/>
              </w:rPr>
            </w:pPr>
            <w:r>
              <w:rPr>
                <w:rFonts w:hAnsi="宋体"/>
                <w:szCs w:val="21"/>
              </w:rPr>
              <w:t>婚管处、其它各处室、执法总队、有关直管单位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19</w:t>
            </w:r>
            <w:r>
              <w:rPr>
                <w:rFonts w:hAnsi="宋体"/>
                <w:szCs w:val="21"/>
              </w:rPr>
              <w:t>、依托本部门、本单位的网站、微博、微信、客户端开展普法宣传（</w:t>
            </w:r>
            <w:r>
              <w:rPr>
                <w:szCs w:val="21"/>
              </w:rPr>
              <w:t>3</w:t>
            </w:r>
            <w:r>
              <w:rPr>
                <w:rFonts w:hAnsi="宋体"/>
                <w:szCs w:val="21"/>
              </w:rPr>
              <w:t>分），依托报刊、广播、电视等大众媒体开展普法活动（</w:t>
            </w:r>
            <w:r>
              <w:rPr>
                <w:szCs w:val="21"/>
              </w:rPr>
              <w:t>2</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提供节目、专栏、频道、普法微信微博等名称、链接、提供相关简报、图片或视频。</w:t>
            </w:r>
          </w:p>
        </w:tc>
        <w:tc>
          <w:tcPr>
            <w:tcW w:w="1532" w:type="dxa"/>
            <w:noWrap w:val="0"/>
            <w:vAlign w:val="center"/>
          </w:tcPr>
          <w:p>
            <w:pPr>
              <w:snapToGrid w:val="0"/>
              <w:spacing w:line="240" w:lineRule="auto"/>
              <w:rPr>
                <w:szCs w:val="21"/>
              </w:rPr>
            </w:pPr>
            <w:r>
              <w:rPr>
                <w:rFonts w:hAnsi="宋体"/>
                <w:szCs w:val="21"/>
              </w:rPr>
              <w:t>宣传处、法规处、传媒中心、其它各处室、执法总队、各直管单位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20</w:t>
            </w:r>
            <w:r>
              <w:rPr>
                <w:rFonts w:hAnsi="宋体"/>
                <w:szCs w:val="21"/>
              </w:rPr>
              <w:t>、组织开展法治创建活动，加强民政法治文化建设（</w:t>
            </w:r>
            <w:r>
              <w:rPr>
                <w:szCs w:val="21"/>
              </w:rPr>
              <w:t>3</w:t>
            </w:r>
            <w:r>
              <w:rPr>
                <w:rFonts w:hAnsi="宋体"/>
                <w:szCs w:val="21"/>
              </w:rPr>
              <w:t>分），建立法治文化阵地（</w:t>
            </w:r>
            <w:r>
              <w:rPr>
                <w:szCs w:val="21"/>
              </w:rPr>
              <w:t>4</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提供相关简报、图片或视频。</w:t>
            </w:r>
          </w:p>
        </w:tc>
        <w:tc>
          <w:tcPr>
            <w:tcW w:w="1532" w:type="dxa"/>
            <w:noWrap w:val="0"/>
            <w:vAlign w:val="center"/>
          </w:tcPr>
          <w:p>
            <w:pPr>
              <w:snapToGrid w:val="0"/>
              <w:spacing w:line="240" w:lineRule="auto"/>
              <w:rPr>
                <w:szCs w:val="21"/>
              </w:rPr>
            </w:pPr>
            <w:r>
              <w:rPr>
                <w:rFonts w:hAnsi="宋体"/>
                <w:szCs w:val="21"/>
              </w:rPr>
              <w:t>法规处、局文明办、其它各处室、执法总队、各直管单位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21</w:t>
            </w:r>
            <w:r>
              <w:rPr>
                <w:rFonts w:hAnsi="宋体"/>
                <w:szCs w:val="21"/>
              </w:rPr>
              <w:t>、组织参加中央、部、市开展的普法公益宣传作品征集评比、征文比赛、演讲比赛等活动（</w:t>
            </w:r>
            <w:r>
              <w:rPr>
                <w:szCs w:val="21"/>
              </w:rPr>
              <w:t>3</w:t>
            </w:r>
            <w:r>
              <w:rPr>
                <w:rFonts w:hAnsi="宋体"/>
                <w:szCs w:val="21"/>
              </w:rPr>
              <w:t>分），获得奖项（</w:t>
            </w:r>
            <w:r>
              <w:rPr>
                <w:szCs w:val="21"/>
              </w:rPr>
              <w:t>3</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提供相关文件通知、制度规范。提供相关简报、图片或视频。</w:t>
            </w:r>
          </w:p>
        </w:tc>
        <w:tc>
          <w:tcPr>
            <w:tcW w:w="1532" w:type="dxa"/>
            <w:noWrap w:val="0"/>
            <w:vAlign w:val="center"/>
          </w:tcPr>
          <w:p>
            <w:pPr>
              <w:snapToGrid w:val="0"/>
              <w:spacing w:line="240" w:lineRule="auto"/>
              <w:rPr>
                <w:szCs w:val="21"/>
              </w:rPr>
            </w:pPr>
            <w:r>
              <w:rPr>
                <w:rFonts w:hAnsi="宋体"/>
                <w:szCs w:val="21"/>
              </w:rPr>
              <w:t>法规处、宣传处、其它各处室、执法总队、各直管单位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restart"/>
            <w:noWrap w:val="0"/>
            <w:vAlign w:val="center"/>
          </w:tcPr>
          <w:p>
            <w:pPr>
              <w:snapToGrid w:val="0"/>
              <w:spacing w:line="240" w:lineRule="auto"/>
              <w:jc w:val="center"/>
              <w:rPr>
                <w:rFonts w:hint="eastAsia" w:hAnsi="宋体"/>
                <w:szCs w:val="21"/>
              </w:rPr>
            </w:pPr>
            <w:r>
              <w:rPr>
                <w:rFonts w:hAnsi="宋体"/>
                <w:szCs w:val="21"/>
              </w:rPr>
              <w:t>注重普法</w:t>
            </w:r>
          </w:p>
          <w:p>
            <w:pPr>
              <w:snapToGrid w:val="0"/>
              <w:spacing w:line="240" w:lineRule="auto"/>
              <w:jc w:val="center"/>
              <w:rPr>
                <w:szCs w:val="21"/>
              </w:rPr>
            </w:pPr>
            <w:r>
              <w:rPr>
                <w:rFonts w:hAnsi="宋体"/>
                <w:szCs w:val="21"/>
              </w:rPr>
              <w:t>实效（</w:t>
            </w:r>
            <w:r>
              <w:rPr>
                <w:szCs w:val="21"/>
              </w:rPr>
              <w:t>8</w:t>
            </w:r>
            <w:r>
              <w:rPr>
                <w:rFonts w:hAnsi="宋体"/>
                <w:szCs w:val="21"/>
              </w:rPr>
              <w:t>分）</w:t>
            </w:r>
          </w:p>
        </w:tc>
        <w:tc>
          <w:tcPr>
            <w:tcW w:w="4340" w:type="dxa"/>
            <w:noWrap w:val="0"/>
            <w:vAlign w:val="center"/>
          </w:tcPr>
          <w:p>
            <w:pPr>
              <w:snapToGrid w:val="0"/>
              <w:spacing w:line="240" w:lineRule="auto"/>
              <w:rPr>
                <w:szCs w:val="21"/>
              </w:rPr>
            </w:pPr>
            <w:r>
              <w:rPr>
                <w:szCs w:val="21"/>
              </w:rPr>
              <w:t>22</w:t>
            </w:r>
            <w:r>
              <w:rPr>
                <w:rFonts w:hAnsi="宋体"/>
                <w:szCs w:val="21"/>
              </w:rPr>
              <w:t>、本部门、本单位有阵地或品牌入选本市社会主义法治文化品牌阵地和品牌活动（</w:t>
            </w:r>
            <w:r>
              <w:rPr>
                <w:szCs w:val="21"/>
              </w:rPr>
              <w:t>2</w:t>
            </w:r>
            <w:r>
              <w:rPr>
                <w:rFonts w:hAnsi="宋体"/>
                <w:szCs w:val="21"/>
              </w:rPr>
              <w:t>分）。</w:t>
            </w:r>
          </w:p>
        </w:tc>
        <w:tc>
          <w:tcPr>
            <w:tcW w:w="1916" w:type="dxa"/>
            <w:noWrap w:val="0"/>
            <w:vAlign w:val="center"/>
          </w:tcPr>
          <w:p>
            <w:pPr>
              <w:snapToGrid w:val="0"/>
              <w:spacing w:line="240" w:lineRule="auto"/>
              <w:rPr>
                <w:szCs w:val="21"/>
              </w:rPr>
            </w:pPr>
            <w:r>
              <w:rPr>
                <w:rFonts w:hAnsi="宋体"/>
                <w:szCs w:val="21"/>
              </w:rPr>
              <w:t>市法宣办评定并计算得分。</w:t>
            </w:r>
          </w:p>
        </w:tc>
        <w:tc>
          <w:tcPr>
            <w:tcW w:w="1532" w:type="dxa"/>
            <w:noWrap w:val="0"/>
            <w:vAlign w:val="center"/>
          </w:tcPr>
          <w:p>
            <w:pPr>
              <w:snapToGrid w:val="0"/>
              <w:spacing w:line="240" w:lineRule="auto"/>
              <w:rPr>
                <w:szCs w:val="21"/>
              </w:rPr>
            </w:pPr>
            <w:r>
              <w:rPr>
                <w:rFonts w:hAnsi="宋体"/>
                <w:szCs w:val="21"/>
              </w:rPr>
              <w:t>法规处、其它各处室、执法总队、各直管单位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23</w:t>
            </w:r>
            <w:r>
              <w:rPr>
                <w:rFonts w:hAnsi="宋体"/>
                <w:szCs w:val="21"/>
              </w:rPr>
              <w:t>、本部门、本单位班子成员未发生违法案件被追究刑事责任（</w:t>
            </w:r>
            <w:r>
              <w:rPr>
                <w:szCs w:val="21"/>
              </w:rPr>
              <w:t>3</w:t>
            </w:r>
            <w:r>
              <w:rPr>
                <w:rFonts w:hAnsi="宋体"/>
                <w:szCs w:val="21"/>
              </w:rPr>
              <w:t>分，发生一起扣</w:t>
            </w:r>
            <w:r>
              <w:rPr>
                <w:szCs w:val="21"/>
              </w:rPr>
              <w:t>1</w:t>
            </w:r>
            <w:r>
              <w:rPr>
                <w:rFonts w:hAnsi="宋体"/>
                <w:szCs w:val="21"/>
              </w:rPr>
              <w:t>分，扣完为止）。</w:t>
            </w:r>
          </w:p>
        </w:tc>
        <w:tc>
          <w:tcPr>
            <w:tcW w:w="1916" w:type="dxa"/>
            <w:noWrap w:val="0"/>
            <w:vAlign w:val="center"/>
          </w:tcPr>
          <w:p>
            <w:pPr>
              <w:snapToGrid w:val="0"/>
              <w:spacing w:line="240" w:lineRule="auto"/>
              <w:rPr>
                <w:szCs w:val="21"/>
              </w:rPr>
            </w:pPr>
            <w:r>
              <w:rPr>
                <w:rFonts w:hAnsi="宋体"/>
                <w:szCs w:val="21"/>
              </w:rPr>
              <w:t>提供权威部门相关证明。</w:t>
            </w:r>
          </w:p>
        </w:tc>
        <w:tc>
          <w:tcPr>
            <w:tcW w:w="1532" w:type="dxa"/>
            <w:noWrap w:val="0"/>
            <w:vAlign w:val="center"/>
          </w:tcPr>
          <w:p>
            <w:pPr>
              <w:snapToGrid w:val="0"/>
              <w:spacing w:line="240" w:lineRule="auto"/>
              <w:rPr>
                <w:szCs w:val="21"/>
              </w:rPr>
            </w:pPr>
            <w:r>
              <w:rPr>
                <w:rFonts w:hAnsi="宋体"/>
                <w:szCs w:val="21"/>
              </w:rPr>
              <w:t>组织人事处、其它各处室、执法总队、各直管单位</w:t>
            </w:r>
          </w:p>
        </w:tc>
        <w:tc>
          <w:tcPr>
            <w:tcW w:w="735" w:type="dxa"/>
            <w:noWrap w:val="0"/>
            <w:vAlign w:val="center"/>
          </w:tcPr>
          <w:p>
            <w:pPr>
              <w:snapToGrid w:val="0"/>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368" w:type="dxa"/>
            <w:vMerge w:val="continue"/>
            <w:noWrap w:val="0"/>
            <w:vAlign w:val="center"/>
          </w:tcPr>
          <w:p>
            <w:pPr>
              <w:snapToGrid w:val="0"/>
              <w:spacing w:line="240" w:lineRule="auto"/>
              <w:jc w:val="center"/>
              <w:rPr>
                <w:szCs w:val="21"/>
              </w:rPr>
            </w:pPr>
          </w:p>
        </w:tc>
        <w:tc>
          <w:tcPr>
            <w:tcW w:w="4340" w:type="dxa"/>
            <w:noWrap w:val="0"/>
            <w:vAlign w:val="center"/>
          </w:tcPr>
          <w:p>
            <w:pPr>
              <w:snapToGrid w:val="0"/>
              <w:spacing w:line="240" w:lineRule="auto"/>
              <w:rPr>
                <w:szCs w:val="21"/>
              </w:rPr>
            </w:pPr>
            <w:r>
              <w:rPr>
                <w:szCs w:val="21"/>
              </w:rPr>
              <w:t>24</w:t>
            </w:r>
            <w:r>
              <w:rPr>
                <w:rFonts w:hAnsi="宋体"/>
                <w:szCs w:val="21"/>
              </w:rPr>
              <w:t>、普法工作受到局级以上的表彰、表扬（含局领导批示）（</w:t>
            </w:r>
            <w:r>
              <w:rPr>
                <w:szCs w:val="21"/>
              </w:rPr>
              <w:t>2</w:t>
            </w:r>
            <w:r>
              <w:rPr>
                <w:rFonts w:hAnsi="宋体"/>
                <w:szCs w:val="21"/>
              </w:rPr>
              <w:t>分）。被市级以上媒体宣传推广（含上海民政、上海社会组织、上海老年报及局管新媒体）（</w:t>
            </w:r>
            <w:r>
              <w:rPr>
                <w:szCs w:val="21"/>
              </w:rPr>
              <w:t>1</w:t>
            </w:r>
            <w:r>
              <w:rPr>
                <w:rFonts w:hAnsi="宋体"/>
                <w:szCs w:val="21"/>
              </w:rPr>
              <w:t>分）。</w:t>
            </w:r>
          </w:p>
        </w:tc>
        <w:tc>
          <w:tcPr>
            <w:tcW w:w="1916" w:type="dxa"/>
            <w:noWrap w:val="0"/>
            <w:vAlign w:val="center"/>
          </w:tcPr>
          <w:p>
            <w:pPr>
              <w:snapToGrid w:val="0"/>
              <w:spacing w:line="240" w:lineRule="auto"/>
              <w:rPr>
                <w:szCs w:val="21"/>
              </w:rPr>
            </w:pPr>
            <w:r>
              <w:rPr>
                <w:rFonts w:hAnsi="宋体"/>
                <w:szCs w:val="21"/>
              </w:rPr>
              <w:t>提供相关文件。由法规处评定并计算得分。</w:t>
            </w:r>
          </w:p>
        </w:tc>
        <w:tc>
          <w:tcPr>
            <w:tcW w:w="1532" w:type="dxa"/>
            <w:noWrap w:val="0"/>
            <w:vAlign w:val="center"/>
          </w:tcPr>
          <w:p>
            <w:pPr>
              <w:snapToGrid w:val="0"/>
              <w:spacing w:line="240" w:lineRule="auto"/>
              <w:rPr>
                <w:szCs w:val="21"/>
              </w:rPr>
            </w:pPr>
            <w:r>
              <w:rPr>
                <w:rFonts w:hAnsi="宋体"/>
                <w:szCs w:val="21"/>
              </w:rPr>
              <w:t>法规处、宣传处、其它各处室、执法总队、各直管单位</w:t>
            </w:r>
          </w:p>
        </w:tc>
        <w:tc>
          <w:tcPr>
            <w:tcW w:w="735" w:type="dxa"/>
            <w:noWrap w:val="0"/>
            <w:vAlign w:val="center"/>
          </w:tcPr>
          <w:p>
            <w:pPr>
              <w:snapToGrid w:val="0"/>
              <w:spacing w:line="240" w:lineRule="auto"/>
              <w:rPr>
                <w:szCs w:val="21"/>
              </w:rPr>
            </w:pPr>
          </w:p>
        </w:tc>
      </w:tr>
    </w:tbl>
    <w:p>
      <w:pPr>
        <w:spacing w:line="560" w:lineRule="exact"/>
        <w:ind w:firstLine="600"/>
        <w:jc w:val="left"/>
        <w:rPr>
          <w:rFonts w:hint="eastAsia" w:ascii="黑体" w:eastAsia="黑体"/>
          <w:sz w:val="36"/>
          <w:szCs w:val="36"/>
        </w:rPr>
      </w:pPr>
    </w:p>
    <w:p>
      <w:pPr>
        <w:snapToGrid w:val="0"/>
        <w:spacing w:line="340" w:lineRule="exact"/>
        <w:jc w:val="center"/>
        <w:rPr>
          <w:rFonts w:hint="eastAsia" w:ascii="仿宋_GB2312" w:eastAsia="仿宋_GB2312"/>
          <w:sz w:val="30"/>
          <w:szCs w:val="30"/>
        </w:rPr>
      </w:pPr>
    </w:p>
    <w:p>
      <w:pPr>
        <w:snapToGrid w:val="0"/>
        <w:spacing w:line="340" w:lineRule="exact"/>
        <w:jc w:val="center"/>
        <w:rPr>
          <w:rFonts w:hint="eastAsia" w:ascii="仿宋_GB2312" w:eastAsia="仿宋_GB2312"/>
          <w:sz w:val="30"/>
          <w:szCs w:val="30"/>
        </w:rPr>
      </w:pPr>
    </w:p>
    <w:p>
      <w:pPr>
        <w:snapToGrid w:val="0"/>
        <w:spacing w:line="340" w:lineRule="exact"/>
        <w:jc w:val="center"/>
        <w:rPr>
          <w:rFonts w:hint="eastAsia" w:ascii="仿宋_GB2312" w:eastAsia="仿宋_GB2312"/>
          <w:sz w:val="30"/>
          <w:szCs w:val="30"/>
        </w:rPr>
      </w:pPr>
    </w:p>
    <w:p>
      <w:pPr>
        <w:snapToGrid w:val="0"/>
        <w:spacing w:line="3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pPr>
        <w:snapToGrid w:val="0"/>
        <w:spacing w:line="240" w:lineRule="exact"/>
        <w:jc w:val="center"/>
        <w:rPr>
          <w:rFonts w:hint="eastAsia" w:ascii="仿宋_GB2312"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26C71"/>
    <w:rsid w:val="46026C71"/>
    <w:rsid w:val="4E6B3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2022-02-07T06:12:00Z</dcterms:created>
  <dc:creator>米</dc:creator>
  <cp:lastModifiedBy>米</cp:lastModifiedBy>
  <dcterms:modified xsi:type="dcterms:W3CDTF">2022-02-07T06:13:53Z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FE12353D5F9F46E1908807C35FFF422C</vt:lpwstr>
  </property>
</Properties>
</file>