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val="0"/>
          <w:bCs/>
          <w:color w:val="000000"/>
          <w:sz w:val="44"/>
          <w:szCs w:val="44"/>
          <w:highlight w:val="none"/>
        </w:rPr>
      </w:pPr>
      <w:bookmarkStart w:id="0" w:name="_Toc6671"/>
      <w:bookmarkStart w:id="1" w:name="_Toc18534"/>
    </w:p>
    <w:p>
      <w:pPr>
        <w:pStyle w:val="2"/>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val="0"/>
          <w:bCs/>
          <w:color w:val="000000"/>
          <w:sz w:val="44"/>
          <w:szCs w:val="44"/>
          <w:highlight w:val="none"/>
        </w:rPr>
      </w:pPr>
    </w:p>
    <w:p>
      <w:pPr>
        <w:pStyle w:val="2"/>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b w:val="0"/>
          <w:bCs/>
          <w:color w:val="000000"/>
          <w:sz w:val="44"/>
          <w:szCs w:val="44"/>
          <w:highlight w:val="none"/>
        </w:rPr>
      </w:pPr>
      <w:bookmarkStart w:id="2" w:name="_GoBack"/>
      <w:r>
        <w:rPr>
          <w:rFonts w:hint="eastAsia" w:ascii="宋体" w:hAnsi="宋体" w:eastAsia="宋体" w:cs="宋体"/>
          <w:b w:val="0"/>
          <w:bCs/>
          <w:color w:val="000000"/>
          <w:sz w:val="44"/>
          <w:szCs w:val="44"/>
          <w:highlight w:val="none"/>
        </w:rPr>
        <w:t>上海市碳排放管理试行办法</w:t>
      </w:r>
      <w:bookmarkEnd w:id="2"/>
      <w:bookmarkEnd w:id="0"/>
      <w:bookmarkEnd w:id="1"/>
    </w:p>
    <w:p>
      <w:pPr>
        <w:pStyle w:val="3"/>
        <w:keepNext w:val="0"/>
        <w:keepLines w:val="0"/>
        <w:pageBreakBefore w:val="0"/>
        <w:kinsoku/>
        <w:wordWrap/>
        <w:overflowPunct/>
        <w:topLinePunct w:val="0"/>
        <w:autoSpaceDE/>
        <w:autoSpaceDN/>
        <w:bidi w:val="0"/>
        <w:adjustRightInd/>
        <w:snapToGrid/>
        <w:ind w:firstLine="640" w:firstLineChars="200"/>
        <w:jc w:val="left"/>
        <w:textAlignment w:val="auto"/>
        <w:rPr>
          <w:rFonts w:hint="eastAsia" w:ascii="楷体_GB2312" w:hAnsi="黑体" w:eastAsia="楷体" w:cs="宋体"/>
          <w:color w:val="000000"/>
          <w:sz w:val="32"/>
          <w:szCs w:val="32"/>
          <w:highlight w:val="none"/>
        </w:rPr>
      </w:pPr>
      <w:r>
        <w:rPr>
          <w:rFonts w:hint="eastAsia" w:ascii="楷体_GB2312" w:hAnsi="黑体" w:eastAsia="楷体" w:cs="宋体"/>
          <w:color w:val="000000"/>
          <w:sz w:val="32"/>
          <w:szCs w:val="32"/>
          <w:highlight w:val="none"/>
        </w:rPr>
        <w:t>（2013年11月18日上海市人民政府令第10号公布</w:t>
      </w:r>
      <w:r>
        <w:rPr>
          <w:rFonts w:hint="eastAsia" w:ascii="楷体_GB2312" w:hAnsi="黑体" w:eastAsia="楷体" w:cs="宋体"/>
          <w:color w:val="000000"/>
          <w:sz w:val="32"/>
          <w:szCs w:val="32"/>
          <w:highlight w:val="none"/>
          <w:lang w:val="en-US" w:eastAsia="zh-CN"/>
        </w:rPr>
        <w:t xml:space="preserve">  </w:t>
      </w:r>
      <w:r>
        <w:rPr>
          <w:rFonts w:hint="eastAsia" w:ascii="楷体_GB2312" w:hAnsi="黑体" w:eastAsia="楷体" w:cs="宋体"/>
          <w:color w:val="000000"/>
          <w:sz w:val="32"/>
          <w:szCs w:val="32"/>
          <w:highlight w:val="none"/>
        </w:rPr>
        <w:t>自2013年11月20日起施行）</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p>
    <w:p>
      <w:pPr>
        <w:pStyle w:val="3"/>
        <w:keepNext w:val="0"/>
        <w:keepLines w:val="0"/>
        <w:pageBreakBefore w:val="0"/>
        <w:kinsoku/>
        <w:wordWrap/>
        <w:overflowPunct/>
        <w:topLinePunct w:val="0"/>
        <w:autoSpaceDE/>
        <w:autoSpaceDN/>
        <w:bidi w:val="0"/>
        <w:adjustRightInd/>
        <w:snapToGrid/>
        <w:jc w:val="center"/>
        <w:textAlignment w:val="auto"/>
        <w:rPr>
          <w:rFonts w:ascii="黑体" w:hAnsi="黑体" w:eastAsia="黑体" w:cs="宋体"/>
          <w:color w:val="000000"/>
          <w:sz w:val="32"/>
          <w:szCs w:val="32"/>
          <w:highlight w:val="none"/>
        </w:rPr>
      </w:pPr>
      <w:r>
        <w:rPr>
          <w:rFonts w:hint="eastAsia" w:ascii="黑体" w:hAnsi="黑体" w:eastAsia="黑体" w:cs="宋体"/>
          <w:color w:val="000000"/>
          <w:sz w:val="32"/>
          <w:szCs w:val="32"/>
          <w:highlight w:val="none"/>
        </w:rPr>
        <w:t>第一章  总</w:t>
      </w:r>
      <w:r>
        <w:rPr>
          <w:rFonts w:hint="eastAsia" w:ascii="黑体" w:hAnsi="黑体" w:eastAsia="黑体" w:cs="宋体"/>
          <w:color w:val="000000"/>
          <w:sz w:val="32"/>
          <w:szCs w:val="32"/>
          <w:highlight w:val="none"/>
          <w:lang w:val="en-US" w:eastAsia="zh-CN"/>
        </w:rPr>
        <w:t xml:space="preserve">  </w:t>
      </w:r>
      <w:r>
        <w:rPr>
          <w:rFonts w:hint="eastAsia" w:ascii="黑体" w:hAnsi="黑体" w:eastAsia="黑体" w:cs="宋体"/>
          <w:color w:val="000000"/>
          <w:sz w:val="32"/>
          <w:szCs w:val="32"/>
          <w:highlight w:val="none"/>
        </w:rPr>
        <w:t>则</w:t>
      </w:r>
    </w:p>
    <w:p>
      <w:pPr>
        <w:pStyle w:val="3"/>
        <w:keepNext w:val="0"/>
        <w:keepLines w:val="0"/>
        <w:pageBreakBefore w:val="0"/>
        <w:kinsoku/>
        <w:wordWrap/>
        <w:overflowPunct/>
        <w:topLinePunct w:val="0"/>
        <w:autoSpaceDE/>
        <w:autoSpaceDN/>
        <w:bidi w:val="0"/>
        <w:adjustRightInd/>
        <w:snapToGrid/>
        <w:textAlignment w:val="auto"/>
        <w:rPr>
          <w:rFonts w:hint="eastAsia" w:ascii="仿宋_GB2312" w:hAnsi="黑体" w:eastAsia="仿宋_GB2312" w:cs="宋体"/>
          <w:color w:val="000000"/>
          <w:sz w:val="32"/>
          <w:szCs w:val="32"/>
          <w:highlight w:val="none"/>
          <w:lang w:val="en-US" w:eastAsia="zh-CN"/>
        </w:rPr>
      </w:pPr>
      <w:r>
        <w:rPr>
          <w:rFonts w:hint="eastAsia" w:ascii="仿宋_GB2312" w:hAnsi="黑体" w:eastAsia="仿宋_GB2312" w:cs="宋体"/>
          <w:color w:val="000000"/>
          <w:sz w:val="32"/>
          <w:szCs w:val="32"/>
          <w:highlight w:val="none"/>
        </w:rPr>
        <w:t>　</w:t>
      </w:r>
      <w:r>
        <w:rPr>
          <w:rFonts w:hint="eastAsia" w:ascii="仿宋_GB2312" w:hAnsi="黑体" w:eastAsia="仿宋_GB2312" w:cs="宋体"/>
          <w:color w:val="000000"/>
          <w:sz w:val="32"/>
          <w:szCs w:val="32"/>
          <w:highlight w:val="none"/>
          <w:lang w:val="en-US" w:eastAsia="zh-CN"/>
        </w:rPr>
        <w:t xml:space="preserve">  </w:t>
      </w:r>
    </w:p>
    <w:p>
      <w:pPr>
        <w:pStyle w:val="3"/>
        <w:keepNext w:val="0"/>
        <w:keepLines w:val="0"/>
        <w:pageBreakBefore w:val="0"/>
        <w:kinsoku/>
        <w:wordWrap/>
        <w:overflowPunct/>
        <w:topLinePunct w:val="0"/>
        <w:autoSpaceDE/>
        <w:autoSpaceDN/>
        <w:bidi w:val="0"/>
        <w:adjustRightInd/>
        <w:snapToGrid/>
        <w:ind w:firstLine="640" w:firstLineChars="200"/>
        <w:textAlignment w:val="auto"/>
        <w:rPr>
          <w:rFonts w:ascii="仿宋_GB2312" w:hAnsi="黑体" w:eastAsia="仿宋_GB2312" w:cs="宋体"/>
          <w:color w:val="000000"/>
          <w:sz w:val="32"/>
          <w:szCs w:val="32"/>
          <w:highlight w:val="none"/>
        </w:rPr>
      </w:pPr>
      <w:r>
        <w:rPr>
          <w:rFonts w:hint="eastAsia" w:ascii="黑体" w:hAnsi="黑体" w:eastAsia="黑体" w:cs="宋体"/>
          <w:color w:val="000000"/>
          <w:sz w:val="32"/>
          <w:szCs w:val="32"/>
          <w:highlight w:val="none"/>
        </w:rPr>
        <w:t>第一条</w:t>
      </w:r>
      <w:r>
        <w:rPr>
          <w:rFonts w:ascii="仿宋_GB2312" w:hAnsi="黑体" w:eastAsia="仿宋_GB2312" w:cs="宋体"/>
          <w:color w:val="000000"/>
          <w:sz w:val="32"/>
          <w:szCs w:val="32"/>
          <w:highlight w:val="none"/>
        </w:rPr>
        <w:t>(</w:t>
      </w:r>
      <w:r>
        <w:rPr>
          <w:rFonts w:hint="eastAsia" w:ascii="仿宋_GB2312" w:hAnsi="黑体" w:eastAsia="仿宋_GB2312" w:cs="宋体"/>
          <w:color w:val="000000"/>
          <w:sz w:val="32"/>
          <w:szCs w:val="32"/>
          <w:highlight w:val="none"/>
        </w:rPr>
        <w:t>目的和依据</w:t>
      </w:r>
      <w:r>
        <w:rPr>
          <w:rFonts w:ascii="仿宋_GB2312" w:hAnsi="黑体" w:eastAsia="仿宋_GB2312" w:cs="宋体"/>
          <w:color w:val="000000"/>
          <w:sz w:val="32"/>
          <w:szCs w:val="32"/>
          <w:highlight w:val="none"/>
        </w:rPr>
        <w:t>)</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为了推动企业履行碳排放控制责任，实现本市碳排放控制目标，规范本市碳排放相关管理活动，推进本市碳排放交易市场健康发展，根据国务院《“十二五”控制温室气体排放工作方案》等有关规定，结合本市实际，制定本办法。</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　第二条</w:t>
      </w:r>
      <w:r>
        <w:rPr>
          <w:rFonts w:hint="eastAsia" w:ascii="仿宋_GB2312" w:hAnsi="黑体" w:eastAsia="仿宋_GB2312" w:cs="宋体"/>
          <w:color w:val="000000"/>
          <w:sz w:val="32"/>
          <w:szCs w:val="32"/>
          <w:highlight w:val="none"/>
        </w:rPr>
        <w:t>（适用范围）</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本办法适用于本市行政区域内碳排放配额的分配、清缴、交易以及碳排放监测、报告、核查、审定等相关管理活动。</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第三条</w:t>
      </w:r>
      <w:r>
        <w:rPr>
          <w:rFonts w:hint="eastAsia" w:ascii="仿宋_GB2312" w:hAnsi="黑体" w:eastAsia="仿宋_GB2312" w:cs="宋体"/>
          <w:color w:val="000000"/>
          <w:sz w:val="32"/>
          <w:szCs w:val="32"/>
          <w:highlight w:val="none"/>
        </w:rPr>
        <w:t>（管理部门）</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市发展改革部门是本市碳排放管理工作的主管部门，负责对本市碳排放管理工作进行综合协调、组织实施和监督保障。</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本市经济信息化、建设交通、商务、交通港口、旅游、金融、统计、质量技监、财政、国资等部门按照各自职责，协同实施本办法。</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本办法规定的行政处罚职责，由市发展改革部门委托上海市节能监察中心履行。</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第四条</w:t>
      </w:r>
      <w:r>
        <w:rPr>
          <w:rFonts w:hint="eastAsia" w:ascii="仿宋_GB2312" w:hAnsi="黑体" w:eastAsia="仿宋_GB2312" w:cs="宋体"/>
          <w:color w:val="000000"/>
          <w:sz w:val="32"/>
          <w:szCs w:val="32"/>
          <w:highlight w:val="none"/>
        </w:rPr>
        <w:t>（宣传培训）</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市发展改革部门及相关部门应当加强碳排放管理的宣传、培训，鼓励企事业单位和社会组织参与碳排放控制活动。</w:t>
      </w:r>
    </w:p>
    <w:p>
      <w:pPr>
        <w:pStyle w:val="3"/>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s="宋体"/>
          <w:color w:val="000000"/>
          <w:sz w:val="32"/>
          <w:szCs w:val="32"/>
          <w:highlight w:val="none"/>
        </w:rPr>
      </w:pPr>
      <w:r>
        <w:rPr>
          <w:rFonts w:hint="eastAsia" w:ascii="黑体" w:hAnsi="黑体" w:eastAsia="黑体" w:cs="宋体"/>
          <w:color w:val="000000"/>
          <w:sz w:val="32"/>
          <w:szCs w:val="32"/>
          <w:highlight w:val="none"/>
        </w:rPr>
        <w:t>　　</w:t>
      </w:r>
    </w:p>
    <w:p>
      <w:pPr>
        <w:pStyle w:val="3"/>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s="宋体"/>
          <w:color w:val="000000"/>
          <w:sz w:val="32"/>
          <w:szCs w:val="32"/>
          <w:highlight w:val="none"/>
        </w:rPr>
      </w:pPr>
      <w:r>
        <w:rPr>
          <w:rFonts w:hint="eastAsia" w:ascii="黑体" w:hAnsi="黑体" w:eastAsia="黑体" w:cs="宋体"/>
          <w:color w:val="000000"/>
          <w:sz w:val="32"/>
          <w:szCs w:val="32"/>
          <w:highlight w:val="none"/>
        </w:rPr>
        <w:t>第二章  配额管理</w:t>
      </w:r>
    </w:p>
    <w:p>
      <w:pPr>
        <w:pStyle w:val="3"/>
        <w:keepNext w:val="0"/>
        <w:keepLines w:val="0"/>
        <w:pageBreakBefore w:val="0"/>
        <w:kinsoku/>
        <w:wordWrap/>
        <w:overflowPunct/>
        <w:topLinePunct w:val="0"/>
        <w:autoSpaceDE/>
        <w:autoSpaceDN/>
        <w:bidi w:val="0"/>
        <w:adjustRightInd/>
        <w:snapToGrid/>
        <w:jc w:val="center"/>
        <w:textAlignment w:val="auto"/>
        <w:rPr>
          <w:rFonts w:hint="eastAsia" w:ascii="黑体" w:hAnsi="黑体" w:eastAsia="黑体" w:cs="宋体"/>
          <w:color w:val="000000"/>
          <w:sz w:val="32"/>
          <w:szCs w:val="32"/>
          <w:highlight w:val="none"/>
        </w:rPr>
      </w:pP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第五条</w:t>
      </w:r>
      <w:r>
        <w:rPr>
          <w:rFonts w:hint="eastAsia" w:ascii="仿宋_GB2312" w:hAnsi="黑体" w:eastAsia="仿宋_GB2312" w:cs="宋体"/>
          <w:color w:val="000000"/>
          <w:sz w:val="32"/>
          <w:szCs w:val="32"/>
          <w:highlight w:val="none"/>
        </w:rPr>
        <w:t>（配额管理制度）</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本市建立碳排放配额管理制度。年度碳排放量达到规定规模的排放单位，纳入配额管理；其他排放单位可以向市发展改革部门申请纳入配额管理。</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纳入配额管理的行业范围以及排放单位的碳排放规模的确定和调整，由市发展改革部门会同相关行业主管部门拟订，并报市政府批准。纳入配额管理的排放单位名单由市发展改革部门公布。</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　第六条</w:t>
      </w:r>
      <w:r>
        <w:rPr>
          <w:rFonts w:hint="eastAsia" w:ascii="仿宋_GB2312" w:hAnsi="黑体" w:eastAsia="仿宋_GB2312" w:cs="宋体"/>
          <w:color w:val="000000"/>
          <w:sz w:val="32"/>
          <w:szCs w:val="32"/>
          <w:highlight w:val="none"/>
        </w:rPr>
        <w:t>（总量控制）</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本市碳排放配额总量根据国家控制温室气体排放的约束性指标，结合本市经济增长目标和合理控制能源消费总量目标予以确定。</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纳入配额管理的单位应当根据本单位的碳排放配额，控制自身碳排放总量，并履行碳排放控制、监测、报告和配额清缴责任。</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第七条</w:t>
      </w:r>
      <w:r>
        <w:rPr>
          <w:rFonts w:hint="eastAsia" w:ascii="仿宋_GB2312" w:hAnsi="黑体" w:eastAsia="仿宋_GB2312" w:cs="宋体"/>
          <w:color w:val="000000"/>
          <w:sz w:val="32"/>
          <w:szCs w:val="32"/>
          <w:highlight w:val="none"/>
        </w:rPr>
        <w:t>（分配方案）</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市发展改革部门应当会同相关部门制定本市碳排放配额分配方案，明确配额分配的原则、方法以及流程等事项，并报市政府批准。</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配额分配方案制定过程中，应当听取纳入配额管理的单位、有关专家及社会组织的意见。</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第八条</w:t>
      </w:r>
      <w:r>
        <w:rPr>
          <w:rFonts w:hint="eastAsia" w:ascii="仿宋_GB2312" w:hAnsi="黑体" w:eastAsia="仿宋_GB2312" w:cs="宋体"/>
          <w:color w:val="000000"/>
          <w:sz w:val="32"/>
          <w:szCs w:val="32"/>
          <w:highlight w:val="none"/>
        </w:rPr>
        <w:t>（配额确定）</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市发展改革部门应当综合考虑纳入配额管理单位的碳排放历史水平、行业特点以及先期节能减排行动等因素，采取历史排放法、基准线法等方法，确定各单位的碳排放配额。</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第九条</w:t>
      </w:r>
      <w:r>
        <w:rPr>
          <w:rFonts w:hint="eastAsia" w:ascii="仿宋_GB2312" w:hAnsi="黑体" w:eastAsia="仿宋_GB2312" w:cs="宋体"/>
          <w:color w:val="000000"/>
          <w:sz w:val="32"/>
          <w:szCs w:val="32"/>
          <w:highlight w:val="none"/>
        </w:rPr>
        <w:t>（配额分配）</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市发展改革部门应当根据本市碳排放控制目标以及工作部署，采取免费或者有偿的方式，通过配额登记注册系统，向纳入配额管理的单位分配配额。</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　第十条</w:t>
      </w:r>
      <w:r>
        <w:rPr>
          <w:rFonts w:ascii="仿宋_GB2312" w:hAnsi="黑体" w:eastAsia="仿宋_GB2312" w:cs="宋体"/>
          <w:color w:val="000000"/>
          <w:sz w:val="32"/>
          <w:szCs w:val="32"/>
          <w:highlight w:val="none"/>
        </w:rPr>
        <w:t>(</w:t>
      </w:r>
      <w:r>
        <w:rPr>
          <w:rFonts w:hint="eastAsia" w:ascii="仿宋_GB2312" w:hAnsi="黑体" w:eastAsia="仿宋_GB2312" w:cs="宋体"/>
          <w:color w:val="000000"/>
          <w:sz w:val="32"/>
          <w:szCs w:val="32"/>
          <w:highlight w:val="none"/>
        </w:rPr>
        <w:t>配额承继</w:t>
      </w:r>
      <w:r>
        <w:rPr>
          <w:rFonts w:ascii="仿宋_GB2312" w:hAnsi="黑体" w:eastAsia="仿宋_GB2312" w:cs="宋体"/>
          <w:color w:val="000000"/>
          <w:sz w:val="32"/>
          <w:szCs w:val="32"/>
          <w:highlight w:val="none"/>
        </w:rPr>
        <w:t>)</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纳入配额管理的单位合并的，其配额及相应的权利义务由合并后存续的单位或者新设的单位承继。</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纳入配额管理的单位分立的，应当依据排放设施的归属，制定合理的配额分拆方案，并报市发展改革部门。其配额及相应的权利义务，由分立后拥有排放设施的单位承继。</w:t>
      </w:r>
    </w:p>
    <w:p>
      <w:pPr>
        <w:pStyle w:val="3"/>
        <w:keepNext w:val="0"/>
        <w:keepLines w:val="0"/>
        <w:pageBreakBefore w:val="0"/>
        <w:kinsoku/>
        <w:wordWrap/>
        <w:overflowPunct/>
        <w:topLinePunct w:val="0"/>
        <w:autoSpaceDE/>
        <w:autoSpaceDN/>
        <w:bidi w:val="0"/>
        <w:adjustRightInd/>
        <w:snapToGrid/>
        <w:jc w:val="center"/>
        <w:textAlignment w:val="auto"/>
        <w:rPr>
          <w:rFonts w:ascii="黑体" w:hAnsi="黑体" w:eastAsia="黑体" w:cs="宋体"/>
          <w:color w:val="000000"/>
          <w:sz w:val="32"/>
          <w:szCs w:val="32"/>
          <w:highlight w:val="none"/>
        </w:rPr>
      </w:pPr>
      <w:r>
        <w:rPr>
          <w:rFonts w:hint="eastAsia" w:ascii="黑体" w:hAnsi="黑体" w:eastAsia="黑体" w:cs="宋体"/>
          <w:color w:val="000000"/>
          <w:sz w:val="32"/>
          <w:szCs w:val="32"/>
          <w:highlight w:val="none"/>
        </w:rPr>
        <w:t>　　</w:t>
      </w:r>
    </w:p>
    <w:p>
      <w:pPr>
        <w:pStyle w:val="3"/>
        <w:keepNext w:val="0"/>
        <w:keepLines w:val="0"/>
        <w:pageBreakBefore w:val="0"/>
        <w:kinsoku/>
        <w:wordWrap/>
        <w:overflowPunct/>
        <w:topLinePunct w:val="0"/>
        <w:autoSpaceDE/>
        <w:autoSpaceDN/>
        <w:bidi w:val="0"/>
        <w:adjustRightInd/>
        <w:snapToGrid/>
        <w:jc w:val="center"/>
        <w:textAlignment w:val="auto"/>
        <w:rPr>
          <w:rFonts w:ascii="黑体" w:hAnsi="黑体" w:eastAsia="黑体" w:cs="宋体"/>
          <w:color w:val="000000"/>
          <w:sz w:val="32"/>
          <w:szCs w:val="32"/>
          <w:highlight w:val="none"/>
        </w:rPr>
      </w:pPr>
      <w:r>
        <w:rPr>
          <w:rFonts w:hint="eastAsia" w:ascii="黑体" w:hAnsi="黑体" w:eastAsia="黑体" w:cs="宋体"/>
          <w:color w:val="000000"/>
          <w:sz w:val="32"/>
          <w:szCs w:val="32"/>
          <w:highlight w:val="none"/>
        </w:rPr>
        <w:t>第三章  碳排放核查与配额清缴</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p>
    <w:p>
      <w:pPr>
        <w:pStyle w:val="3"/>
        <w:keepNext w:val="0"/>
        <w:keepLines w:val="0"/>
        <w:pageBreakBefore w:val="0"/>
        <w:kinsoku/>
        <w:wordWrap/>
        <w:overflowPunct/>
        <w:topLinePunct w:val="0"/>
        <w:autoSpaceDE/>
        <w:autoSpaceDN/>
        <w:bidi w:val="0"/>
        <w:adjustRightInd/>
        <w:snapToGrid/>
        <w:ind w:firstLine="640" w:firstLineChars="200"/>
        <w:textAlignment w:val="auto"/>
        <w:rPr>
          <w:rFonts w:ascii="仿宋_GB2312" w:hAnsi="黑体" w:eastAsia="仿宋_GB2312" w:cs="宋体"/>
          <w:color w:val="000000"/>
          <w:sz w:val="32"/>
          <w:szCs w:val="32"/>
          <w:highlight w:val="none"/>
        </w:rPr>
      </w:pPr>
      <w:r>
        <w:rPr>
          <w:rFonts w:hint="eastAsia" w:ascii="黑体" w:hAnsi="黑体" w:eastAsia="黑体" w:cs="宋体"/>
          <w:color w:val="000000"/>
          <w:sz w:val="32"/>
          <w:szCs w:val="32"/>
          <w:highlight w:val="none"/>
        </w:rPr>
        <w:t>第十一条</w:t>
      </w:r>
      <w:r>
        <w:rPr>
          <w:rFonts w:hint="eastAsia" w:ascii="仿宋_GB2312" w:hAnsi="黑体" w:eastAsia="仿宋_GB2312" w:cs="宋体"/>
          <w:color w:val="000000"/>
          <w:sz w:val="32"/>
          <w:szCs w:val="32"/>
          <w:highlight w:val="none"/>
        </w:rPr>
        <w:t>（监测制度）</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纳入配额管理的单位应当于每年</w:t>
      </w:r>
      <w:r>
        <w:rPr>
          <w:rFonts w:ascii="仿宋_GB2312" w:hAnsi="黑体" w:eastAsia="仿宋_GB2312" w:cs="宋体"/>
          <w:color w:val="000000"/>
          <w:sz w:val="32"/>
          <w:szCs w:val="32"/>
          <w:highlight w:val="none"/>
        </w:rPr>
        <w:t>12</w:t>
      </w:r>
      <w:r>
        <w:rPr>
          <w:rFonts w:hint="eastAsia" w:ascii="仿宋_GB2312" w:hAnsi="黑体" w:eastAsia="仿宋_GB2312" w:cs="宋体"/>
          <w:color w:val="000000"/>
          <w:sz w:val="32"/>
          <w:szCs w:val="32"/>
          <w:highlight w:val="none"/>
        </w:rPr>
        <w:t>月</w:t>
      </w:r>
      <w:r>
        <w:rPr>
          <w:rFonts w:ascii="仿宋_GB2312" w:hAnsi="黑体" w:eastAsia="仿宋_GB2312" w:cs="宋体"/>
          <w:color w:val="000000"/>
          <w:sz w:val="32"/>
          <w:szCs w:val="32"/>
          <w:highlight w:val="none"/>
        </w:rPr>
        <w:t>31</w:t>
      </w:r>
      <w:r>
        <w:rPr>
          <w:rFonts w:hint="eastAsia" w:ascii="仿宋_GB2312" w:hAnsi="黑体" w:eastAsia="仿宋_GB2312" w:cs="宋体"/>
          <w:color w:val="000000"/>
          <w:sz w:val="32"/>
          <w:szCs w:val="32"/>
          <w:highlight w:val="none"/>
        </w:rPr>
        <w:t>日前，制定下一年度碳排放监测计划，明确监测范围、监测方式、频次、责任人员等内容，并报市发展改革部门。</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纳入配额管理的单位应当加强能源计量管理，严格依据监测计划实施监测。监测计划发生重大变更的，应当及时向市发展改革部门报告。</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　第十二条</w:t>
      </w:r>
      <w:r>
        <w:rPr>
          <w:rFonts w:hint="eastAsia" w:ascii="仿宋_GB2312" w:hAnsi="黑体" w:eastAsia="仿宋_GB2312" w:cs="宋体"/>
          <w:color w:val="000000"/>
          <w:sz w:val="32"/>
          <w:szCs w:val="32"/>
          <w:highlight w:val="none"/>
        </w:rPr>
        <w:t>（报告制度）</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纳入配额管理的单位应当于每年</w:t>
      </w:r>
      <w:r>
        <w:rPr>
          <w:rFonts w:ascii="仿宋_GB2312" w:hAnsi="黑体" w:eastAsia="仿宋_GB2312" w:cs="宋体"/>
          <w:color w:val="000000"/>
          <w:sz w:val="32"/>
          <w:szCs w:val="32"/>
          <w:highlight w:val="none"/>
        </w:rPr>
        <w:t>3</w:t>
      </w:r>
      <w:r>
        <w:rPr>
          <w:rFonts w:hint="eastAsia" w:ascii="仿宋_GB2312" w:hAnsi="黑体" w:eastAsia="仿宋_GB2312" w:cs="宋体"/>
          <w:color w:val="000000"/>
          <w:sz w:val="32"/>
          <w:szCs w:val="32"/>
          <w:highlight w:val="none"/>
        </w:rPr>
        <w:t>月</w:t>
      </w:r>
      <w:r>
        <w:rPr>
          <w:rFonts w:ascii="仿宋_GB2312" w:hAnsi="黑体" w:eastAsia="仿宋_GB2312" w:cs="宋体"/>
          <w:color w:val="000000"/>
          <w:sz w:val="32"/>
          <w:szCs w:val="32"/>
          <w:highlight w:val="none"/>
        </w:rPr>
        <w:t>31</w:t>
      </w:r>
      <w:r>
        <w:rPr>
          <w:rFonts w:hint="eastAsia" w:ascii="仿宋_GB2312" w:hAnsi="黑体" w:eastAsia="仿宋_GB2312" w:cs="宋体"/>
          <w:color w:val="000000"/>
          <w:sz w:val="32"/>
          <w:szCs w:val="32"/>
          <w:highlight w:val="none"/>
        </w:rPr>
        <w:t>日前，编制本单位上一年度碳排放报告，并报市发展改革部门。</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年度碳排放量在</w:t>
      </w:r>
      <w:r>
        <w:rPr>
          <w:rFonts w:ascii="仿宋_GB2312" w:hAnsi="黑体" w:eastAsia="仿宋_GB2312" w:cs="宋体"/>
          <w:color w:val="000000"/>
          <w:sz w:val="32"/>
          <w:szCs w:val="32"/>
          <w:highlight w:val="none"/>
        </w:rPr>
        <w:t>1</w:t>
      </w:r>
      <w:r>
        <w:rPr>
          <w:rFonts w:hint="eastAsia" w:ascii="仿宋_GB2312" w:hAnsi="黑体" w:eastAsia="仿宋_GB2312" w:cs="宋体"/>
          <w:color w:val="000000"/>
          <w:sz w:val="32"/>
          <w:szCs w:val="32"/>
          <w:highlight w:val="none"/>
        </w:rPr>
        <w:t>万吨以上但尚未纳入配额管理的排放单位应当于每年</w:t>
      </w:r>
      <w:r>
        <w:rPr>
          <w:rFonts w:ascii="仿宋_GB2312" w:hAnsi="黑体" w:eastAsia="仿宋_GB2312" w:cs="宋体"/>
          <w:color w:val="000000"/>
          <w:sz w:val="32"/>
          <w:szCs w:val="32"/>
          <w:highlight w:val="none"/>
        </w:rPr>
        <w:t>3</w:t>
      </w:r>
      <w:r>
        <w:rPr>
          <w:rFonts w:hint="eastAsia" w:ascii="仿宋_GB2312" w:hAnsi="黑体" w:eastAsia="仿宋_GB2312" w:cs="宋体"/>
          <w:color w:val="000000"/>
          <w:sz w:val="32"/>
          <w:szCs w:val="32"/>
          <w:highlight w:val="none"/>
        </w:rPr>
        <w:t>月</w:t>
      </w:r>
      <w:r>
        <w:rPr>
          <w:rFonts w:ascii="仿宋_GB2312" w:hAnsi="黑体" w:eastAsia="仿宋_GB2312" w:cs="宋体"/>
          <w:color w:val="000000"/>
          <w:sz w:val="32"/>
          <w:szCs w:val="32"/>
          <w:highlight w:val="none"/>
        </w:rPr>
        <w:t>31</w:t>
      </w:r>
      <w:r>
        <w:rPr>
          <w:rFonts w:hint="eastAsia" w:ascii="仿宋_GB2312" w:hAnsi="黑体" w:eastAsia="仿宋_GB2312" w:cs="宋体"/>
          <w:color w:val="000000"/>
          <w:sz w:val="32"/>
          <w:szCs w:val="32"/>
          <w:highlight w:val="none"/>
        </w:rPr>
        <w:t>日前，向市发展改革部门报送上一年度碳排放报告。</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提交碳排放报告的单位应当对所报数据和信息的真实性、完整性负责。</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第十三条</w:t>
      </w:r>
      <w:r>
        <w:rPr>
          <w:rFonts w:hint="eastAsia" w:ascii="仿宋_GB2312" w:hAnsi="黑体" w:eastAsia="仿宋_GB2312" w:cs="宋体"/>
          <w:color w:val="000000"/>
          <w:sz w:val="32"/>
          <w:szCs w:val="32"/>
          <w:highlight w:val="none"/>
        </w:rPr>
        <w:t>（碳排放核查制度）</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本市建立碳排放核查制度，由第三方机构对纳入配额管理单位提交的碳排放报告进行核查，并于每年</w:t>
      </w:r>
      <w:r>
        <w:rPr>
          <w:rFonts w:ascii="仿宋_GB2312" w:hAnsi="黑体" w:eastAsia="仿宋_GB2312" w:cs="宋体"/>
          <w:color w:val="000000"/>
          <w:sz w:val="32"/>
          <w:szCs w:val="32"/>
          <w:highlight w:val="none"/>
        </w:rPr>
        <w:t>4</w:t>
      </w:r>
      <w:r>
        <w:rPr>
          <w:rFonts w:hint="eastAsia" w:ascii="仿宋_GB2312" w:hAnsi="黑体" w:eastAsia="仿宋_GB2312" w:cs="宋体"/>
          <w:color w:val="000000"/>
          <w:sz w:val="32"/>
          <w:szCs w:val="32"/>
          <w:highlight w:val="none"/>
        </w:rPr>
        <w:t>月</w:t>
      </w:r>
      <w:r>
        <w:rPr>
          <w:rFonts w:ascii="仿宋_GB2312" w:hAnsi="黑体" w:eastAsia="仿宋_GB2312" w:cs="宋体"/>
          <w:color w:val="000000"/>
          <w:sz w:val="32"/>
          <w:szCs w:val="32"/>
          <w:highlight w:val="none"/>
        </w:rPr>
        <w:t>30</w:t>
      </w:r>
      <w:r>
        <w:rPr>
          <w:rFonts w:hint="eastAsia" w:ascii="仿宋_GB2312" w:hAnsi="黑体" w:eastAsia="仿宋_GB2312" w:cs="宋体"/>
          <w:color w:val="000000"/>
          <w:sz w:val="32"/>
          <w:szCs w:val="32"/>
          <w:highlight w:val="none"/>
        </w:rPr>
        <w:t>日前，向市发展改革部门提交核查报告。市发展改革部门可以委托第三方机构进行核查；根据本市碳排放管理的工作部署，也可以由纳入配额管理的单位委托第三方机构核查。</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在核查过程中，纳入配额管理的单位应当配合第三方机构开展工作，如实提供有关文件和资料。第三方机构及其工作人员应当遵守国家和本市相关规定，独立、公正地开展碳排放核查工作。</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第三方机构应当对核查报告的规范性、真实性和准确性负责，并对被核查单位的商业秘密和碳排放数据负有保密义务。</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　第十四条</w:t>
      </w:r>
      <w:r>
        <w:rPr>
          <w:rFonts w:hint="eastAsia" w:ascii="仿宋_GB2312" w:hAnsi="黑体" w:eastAsia="仿宋_GB2312" w:cs="宋体"/>
          <w:color w:val="000000"/>
          <w:sz w:val="32"/>
          <w:szCs w:val="32"/>
          <w:highlight w:val="none"/>
        </w:rPr>
        <w:t>（第三方机构管理）</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市发展改革部门应当建立与碳排放核查工作相适应的第三方机构备案管理制度和核查工作规则，建立向社会公开的第三方机构名录，并对第三方机构及其碳排放核查工作加强监督管理。</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第十五条</w:t>
      </w:r>
      <w:r>
        <w:rPr>
          <w:rFonts w:hint="eastAsia" w:ascii="仿宋_GB2312" w:hAnsi="黑体" w:eastAsia="仿宋_GB2312" w:cs="宋体"/>
          <w:color w:val="000000"/>
          <w:sz w:val="32"/>
          <w:szCs w:val="32"/>
          <w:highlight w:val="none"/>
        </w:rPr>
        <w:t>（年度碳排放量的审定）</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市发展改革部门应当自收到第三方机构出具的核查报告之日起</w:t>
      </w:r>
      <w:r>
        <w:rPr>
          <w:rFonts w:ascii="仿宋_GB2312" w:hAnsi="黑体" w:eastAsia="仿宋_GB2312" w:cs="宋体"/>
          <w:color w:val="000000"/>
          <w:sz w:val="32"/>
          <w:szCs w:val="32"/>
          <w:highlight w:val="none"/>
        </w:rPr>
        <w:t>30</w:t>
      </w:r>
      <w:r>
        <w:rPr>
          <w:rFonts w:hint="eastAsia" w:ascii="仿宋_GB2312" w:hAnsi="黑体" w:eastAsia="仿宋_GB2312" w:cs="宋体"/>
          <w:color w:val="000000"/>
          <w:sz w:val="32"/>
          <w:szCs w:val="32"/>
          <w:highlight w:val="none"/>
        </w:rPr>
        <w:t>日内，依据核查报告，结合碳排放报告，审定年度碳排放量，并将审定结果通知纳入配额管理的单位。碳排放报告以及核查、审定情况由市发展改革部门抄送相关部门。</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有下列情形之一的，市发展改革部门应当组织对纳入配额管理的单位进行复查并审定年度碳排放量：</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（一）年度碳排放报告与核查报告中认定的年度碳排放量相差</w:t>
      </w:r>
      <w:r>
        <w:rPr>
          <w:rFonts w:ascii="仿宋_GB2312" w:hAnsi="黑体" w:eastAsia="仿宋_GB2312" w:cs="宋体"/>
          <w:color w:val="000000"/>
          <w:sz w:val="32"/>
          <w:szCs w:val="32"/>
          <w:highlight w:val="none"/>
        </w:rPr>
        <w:t>10%</w:t>
      </w:r>
      <w:r>
        <w:rPr>
          <w:rFonts w:hint="eastAsia" w:ascii="仿宋_GB2312" w:hAnsi="黑体" w:eastAsia="仿宋_GB2312" w:cs="宋体"/>
          <w:color w:val="000000"/>
          <w:sz w:val="32"/>
          <w:szCs w:val="32"/>
          <w:highlight w:val="none"/>
        </w:rPr>
        <w:t>或者</w:t>
      </w:r>
      <w:r>
        <w:rPr>
          <w:rFonts w:ascii="仿宋_GB2312" w:hAnsi="黑体" w:eastAsia="仿宋_GB2312" w:cs="宋体"/>
          <w:color w:val="000000"/>
          <w:sz w:val="32"/>
          <w:szCs w:val="32"/>
          <w:highlight w:val="none"/>
        </w:rPr>
        <w:t>10</w:t>
      </w:r>
      <w:r>
        <w:rPr>
          <w:rFonts w:hint="eastAsia" w:ascii="仿宋_GB2312" w:hAnsi="黑体" w:eastAsia="仿宋_GB2312" w:cs="宋体"/>
          <w:color w:val="000000"/>
          <w:sz w:val="32"/>
          <w:szCs w:val="32"/>
          <w:highlight w:val="none"/>
        </w:rPr>
        <w:t>万吨以上；</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（二）年度碳排放量与前一年度碳排放量相差</w:t>
      </w:r>
      <w:r>
        <w:rPr>
          <w:rFonts w:ascii="仿宋_GB2312" w:hAnsi="黑体" w:eastAsia="仿宋_GB2312" w:cs="宋体"/>
          <w:color w:val="000000"/>
          <w:sz w:val="32"/>
          <w:szCs w:val="32"/>
          <w:highlight w:val="none"/>
        </w:rPr>
        <w:t>20%</w:t>
      </w:r>
      <w:r>
        <w:rPr>
          <w:rFonts w:hint="eastAsia" w:ascii="仿宋_GB2312" w:hAnsi="黑体" w:eastAsia="仿宋_GB2312" w:cs="宋体"/>
          <w:color w:val="000000"/>
          <w:sz w:val="32"/>
          <w:szCs w:val="32"/>
          <w:highlight w:val="none"/>
        </w:rPr>
        <w:t>以上；</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（三）纳入配额管理的单位对核查报告有异议，并能提供相关证明材料；</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（四）其他有必要进行复查的情况。</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第十六条</w:t>
      </w:r>
      <w:r>
        <w:rPr>
          <w:rFonts w:hint="eastAsia" w:ascii="仿宋_GB2312" w:hAnsi="黑体" w:eastAsia="仿宋_GB2312" w:cs="宋体"/>
          <w:color w:val="000000"/>
          <w:sz w:val="32"/>
          <w:szCs w:val="32"/>
          <w:highlight w:val="none"/>
        </w:rPr>
        <w:t>（配额清缴）</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纳入配额管理的单位应当于每年</w:t>
      </w:r>
      <w:r>
        <w:rPr>
          <w:rFonts w:ascii="仿宋_GB2312" w:hAnsi="黑体" w:eastAsia="仿宋_GB2312" w:cs="宋体"/>
          <w:color w:val="000000"/>
          <w:sz w:val="32"/>
          <w:szCs w:val="32"/>
          <w:highlight w:val="none"/>
        </w:rPr>
        <w:t>6</w:t>
      </w:r>
      <w:r>
        <w:rPr>
          <w:rFonts w:hint="eastAsia" w:ascii="仿宋_GB2312" w:hAnsi="黑体" w:eastAsia="仿宋_GB2312" w:cs="宋体"/>
          <w:color w:val="000000"/>
          <w:sz w:val="32"/>
          <w:szCs w:val="32"/>
          <w:highlight w:val="none"/>
        </w:rPr>
        <w:t>月</w:t>
      </w:r>
      <w:r>
        <w:rPr>
          <w:rFonts w:ascii="仿宋_GB2312" w:hAnsi="黑体" w:eastAsia="仿宋_GB2312" w:cs="宋体"/>
          <w:color w:val="000000"/>
          <w:sz w:val="32"/>
          <w:szCs w:val="32"/>
          <w:highlight w:val="none"/>
        </w:rPr>
        <w:t>1</w:t>
      </w:r>
      <w:r>
        <w:rPr>
          <w:rFonts w:hint="eastAsia" w:ascii="仿宋_GB2312" w:hAnsi="黑体" w:eastAsia="仿宋_GB2312" w:cs="宋体"/>
          <w:color w:val="000000"/>
          <w:sz w:val="32"/>
          <w:szCs w:val="32"/>
          <w:highlight w:val="none"/>
        </w:rPr>
        <w:t>日至</w:t>
      </w:r>
      <w:r>
        <w:rPr>
          <w:rFonts w:ascii="仿宋_GB2312" w:hAnsi="黑体" w:eastAsia="仿宋_GB2312" w:cs="宋体"/>
          <w:color w:val="000000"/>
          <w:sz w:val="32"/>
          <w:szCs w:val="32"/>
          <w:highlight w:val="none"/>
        </w:rPr>
        <w:t>6</w:t>
      </w:r>
      <w:r>
        <w:rPr>
          <w:rFonts w:hint="eastAsia" w:ascii="仿宋_GB2312" w:hAnsi="黑体" w:eastAsia="仿宋_GB2312" w:cs="宋体"/>
          <w:color w:val="000000"/>
          <w:sz w:val="32"/>
          <w:szCs w:val="32"/>
          <w:highlight w:val="none"/>
        </w:rPr>
        <w:t>月</w:t>
      </w:r>
      <w:r>
        <w:rPr>
          <w:rFonts w:ascii="仿宋_GB2312" w:hAnsi="黑体" w:eastAsia="仿宋_GB2312" w:cs="宋体"/>
          <w:color w:val="000000"/>
          <w:sz w:val="32"/>
          <w:szCs w:val="32"/>
          <w:highlight w:val="none"/>
        </w:rPr>
        <w:t>30</w:t>
      </w:r>
      <w:r>
        <w:rPr>
          <w:rFonts w:hint="eastAsia" w:ascii="仿宋_GB2312" w:hAnsi="黑体" w:eastAsia="仿宋_GB2312" w:cs="宋体"/>
          <w:color w:val="000000"/>
          <w:sz w:val="32"/>
          <w:szCs w:val="32"/>
          <w:highlight w:val="none"/>
        </w:rPr>
        <w:t>日期间，依据经市发展改革部门审定的上一年度碳排放量，通过登记系统，足额提交配额，履行清缴义务。纳入配额管理的单位用于清缴的配额，在登记系统内注销。</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用于清缴的配额应当为上一年度或者此前年度配额；本单位配额不足以履行清缴义务的，可以通过交易，购买配额用于清缴。配额有结余的，可以在后续年度使用，也可以用于配额交易。</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第十七条</w:t>
      </w:r>
      <w:r>
        <w:rPr>
          <w:rFonts w:hint="eastAsia" w:ascii="仿宋_GB2312" w:hAnsi="黑体" w:eastAsia="仿宋_GB2312" w:cs="宋体"/>
          <w:color w:val="000000"/>
          <w:sz w:val="32"/>
          <w:szCs w:val="32"/>
          <w:highlight w:val="none"/>
        </w:rPr>
        <w:t>（抵销机制）</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纳入配额管理的单位可以将一定比例的国家核证自愿减排量（</w:t>
      </w:r>
      <w:r>
        <w:rPr>
          <w:rFonts w:ascii="仿宋_GB2312" w:hAnsi="黑体" w:eastAsia="仿宋_GB2312" w:cs="宋体"/>
          <w:color w:val="000000"/>
          <w:sz w:val="32"/>
          <w:szCs w:val="32"/>
          <w:highlight w:val="none"/>
        </w:rPr>
        <w:t>CCER</w:t>
      </w:r>
      <w:r>
        <w:rPr>
          <w:rFonts w:hint="eastAsia" w:ascii="仿宋_GB2312" w:hAnsi="黑体" w:eastAsia="仿宋_GB2312" w:cs="宋体"/>
          <w:color w:val="000000"/>
          <w:sz w:val="32"/>
          <w:szCs w:val="32"/>
          <w:highlight w:val="none"/>
        </w:rPr>
        <w:t>）用于配额清缴。用于清缴时，每吨国家核证自愿减排量相当于</w:t>
      </w:r>
      <w:r>
        <w:rPr>
          <w:rFonts w:ascii="仿宋_GB2312" w:hAnsi="黑体" w:eastAsia="仿宋_GB2312" w:cs="宋体"/>
          <w:color w:val="000000"/>
          <w:sz w:val="32"/>
          <w:szCs w:val="32"/>
          <w:highlight w:val="none"/>
        </w:rPr>
        <w:t>1</w:t>
      </w:r>
      <w:r>
        <w:rPr>
          <w:rFonts w:hint="eastAsia" w:ascii="仿宋_GB2312" w:hAnsi="黑体" w:eastAsia="仿宋_GB2312" w:cs="宋体"/>
          <w:color w:val="000000"/>
          <w:sz w:val="32"/>
          <w:szCs w:val="32"/>
          <w:highlight w:val="none"/>
        </w:rPr>
        <w:t>吨碳排放配额。国家核证自愿减排量的清缴比例由市发展改革部门确定并向社会公布。</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本市纳入配额管理的单位在其排放边界范围内的国家核证自愿减排量不得用于本市的配额清缴。</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第十八条</w:t>
      </w:r>
      <w:r>
        <w:rPr>
          <w:rFonts w:ascii="仿宋_GB2312" w:hAnsi="黑体" w:eastAsia="仿宋_GB2312" w:cs="宋体"/>
          <w:color w:val="000000"/>
          <w:sz w:val="32"/>
          <w:szCs w:val="32"/>
          <w:highlight w:val="none"/>
        </w:rPr>
        <w:t>(</w:t>
      </w:r>
      <w:r>
        <w:rPr>
          <w:rFonts w:hint="eastAsia" w:ascii="仿宋_GB2312" w:hAnsi="黑体" w:eastAsia="仿宋_GB2312" w:cs="宋体"/>
          <w:color w:val="000000"/>
          <w:sz w:val="32"/>
          <w:szCs w:val="32"/>
          <w:highlight w:val="none"/>
        </w:rPr>
        <w:t>关停和迁出时的清缴</w:t>
      </w:r>
      <w:r>
        <w:rPr>
          <w:rFonts w:ascii="仿宋_GB2312" w:hAnsi="黑体" w:eastAsia="仿宋_GB2312" w:cs="宋体"/>
          <w:color w:val="000000"/>
          <w:sz w:val="32"/>
          <w:szCs w:val="32"/>
          <w:highlight w:val="none"/>
        </w:rPr>
        <w:t>)</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纳入配额管理的单位解散、注销、停止生产经营或者迁出本市的，应当在</w:t>
      </w:r>
      <w:r>
        <w:rPr>
          <w:rFonts w:ascii="仿宋_GB2312" w:hAnsi="黑体" w:eastAsia="仿宋_GB2312" w:cs="宋体"/>
          <w:color w:val="000000"/>
          <w:sz w:val="32"/>
          <w:szCs w:val="32"/>
          <w:highlight w:val="none"/>
        </w:rPr>
        <w:t>15</w:t>
      </w:r>
      <w:r>
        <w:rPr>
          <w:rFonts w:hint="eastAsia" w:ascii="仿宋_GB2312" w:hAnsi="黑体" w:eastAsia="仿宋_GB2312" w:cs="宋体"/>
          <w:color w:val="000000"/>
          <w:sz w:val="32"/>
          <w:szCs w:val="32"/>
          <w:highlight w:val="none"/>
        </w:rPr>
        <w:t>日内，向市发展改革部门报告当年碳排放情况。市发展改革部门接到报告后，由第三方机构对该单位的碳排放情况进行核查，并由市发展改革部门审定当年碳排放量。</w:t>
      </w:r>
    </w:p>
    <w:p>
      <w:pPr>
        <w:pStyle w:val="3"/>
        <w:keepNext w:val="0"/>
        <w:keepLines w:val="0"/>
        <w:pageBreakBefore w:val="0"/>
        <w:kinsoku/>
        <w:wordWrap/>
        <w:overflowPunct/>
        <w:topLinePunct w:val="0"/>
        <w:autoSpaceDE/>
        <w:autoSpaceDN/>
        <w:bidi w:val="0"/>
        <w:adjustRightInd/>
        <w:snapToGrid/>
        <w:ind w:firstLine="420"/>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纳入配额管理的单位根据市发展改革部门的审定结论完成配额清缴义务。该单位已无偿取得的此后年度配额的</w:t>
      </w:r>
      <w:r>
        <w:rPr>
          <w:rFonts w:ascii="仿宋_GB2312" w:hAnsi="黑体" w:eastAsia="仿宋_GB2312" w:cs="宋体"/>
          <w:color w:val="000000"/>
          <w:sz w:val="32"/>
          <w:szCs w:val="32"/>
          <w:highlight w:val="none"/>
        </w:rPr>
        <w:t>50%</w:t>
      </w:r>
      <w:r>
        <w:rPr>
          <w:rFonts w:hint="eastAsia" w:ascii="仿宋_GB2312" w:hAnsi="黑体" w:eastAsia="仿宋_GB2312" w:cs="宋体"/>
          <w:color w:val="000000"/>
          <w:sz w:val="32"/>
          <w:szCs w:val="32"/>
          <w:highlight w:val="none"/>
        </w:rPr>
        <w:t>，由市发展改革部门收回。</w:t>
      </w:r>
    </w:p>
    <w:p>
      <w:pPr>
        <w:pStyle w:val="3"/>
        <w:keepNext w:val="0"/>
        <w:keepLines w:val="0"/>
        <w:pageBreakBefore w:val="0"/>
        <w:kinsoku/>
        <w:wordWrap/>
        <w:overflowPunct/>
        <w:topLinePunct w:val="0"/>
        <w:autoSpaceDE/>
        <w:autoSpaceDN/>
        <w:bidi w:val="0"/>
        <w:adjustRightInd/>
        <w:snapToGrid/>
        <w:ind w:firstLine="420"/>
        <w:textAlignment w:val="auto"/>
        <w:rPr>
          <w:rFonts w:ascii="仿宋_GB2312" w:hAnsi="黑体" w:eastAsia="仿宋_GB2312" w:cs="宋体"/>
          <w:color w:val="000000"/>
          <w:sz w:val="32"/>
          <w:szCs w:val="32"/>
          <w:highlight w:val="none"/>
        </w:rPr>
      </w:pPr>
    </w:p>
    <w:p>
      <w:pPr>
        <w:pStyle w:val="3"/>
        <w:keepNext w:val="0"/>
        <w:keepLines w:val="0"/>
        <w:pageBreakBefore w:val="0"/>
        <w:kinsoku/>
        <w:wordWrap/>
        <w:overflowPunct/>
        <w:topLinePunct w:val="0"/>
        <w:autoSpaceDE/>
        <w:autoSpaceDN/>
        <w:bidi w:val="0"/>
        <w:adjustRightInd/>
        <w:snapToGrid/>
        <w:jc w:val="center"/>
        <w:textAlignment w:val="auto"/>
        <w:rPr>
          <w:rFonts w:ascii="黑体" w:hAnsi="黑体" w:eastAsia="黑体" w:cs="宋体"/>
          <w:color w:val="000000"/>
          <w:sz w:val="32"/>
          <w:szCs w:val="32"/>
          <w:highlight w:val="none"/>
        </w:rPr>
      </w:pPr>
      <w:r>
        <w:rPr>
          <w:rFonts w:hint="eastAsia" w:ascii="黑体" w:hAnsi="黑体" w:eastAsia="黑体" w:cs="宋体"/>
          <w:color w:val="000000"/>
          <w:sz w:val="32"/>
          <w:szCs w:val="32"/>
          <w:highlight w:val="none"/>
        </w:rPr>
        <w:t>　　第四章  配额交易</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p>
    <w:p>
      <w:pPr>
        <w:pStyle w:val="3"/>
        <w:keepNext w:val="0"/>
        <w:keepLines w:val="0"/>
        <w:pageBreakBefore w:val="0"/>
        <w:kinsoku/>
        <w:wordWrap/>
        <w:overflowPunct/>
        <w:topLinePunct w:val="0"/>
        <w:autoSpaceDE/>
        <w:autoSpaceDN/>
        <w:bidi w:val="0"/>
        <w:adjustRightInd/>
        <w:snapToGrid/>
        <w:ind w:firstLine="640" w:firstLineChars="200"/>
        <w:textAlignment w:val="auto"/>
        <w:rPr>
          <w:rFonts w:ascii="仿宋_GB2312" w:hAnsi="黑体" w:eastAsia="仿宋_GB2312" w:cs="宋体"/>
          <w:color w:val="000000"/>
          <w:sz w:val="32"/>
          <w:szCs w:val="32"/>
          <w:highlight w:val="none"/>
        </w:rPr>
      </w:pPr>
      <w:r>
        <w:rPr>
          <w:rFonts w:hint="eastAsia" w:ascii="黑体" w:hAnsi="黑体" w:eastAsia="黑体" w:cs="宋体"/>
          <w:color w:val="000000"/>
          <w:sz w:val="32"/>
          <w:szCs w:val="32"/>
          <w:highlight w:val="none"/>
        </w:rPr>
        <w:t>第十九条</w:t>
      </w:r>
      <w:r>
        <w:rPr>
          <w:rFonts w:hint="eastAsia" w:ascii="仿宋_GB2312" w:hAnsi="黑体" w:eastAsia="仿宋_GB2312" w:cs="宋体"/>
          <w:color w:val="000000"/>
          <w:sz w:val="32"/>
          <w:szCs w:val="32"/>
          <w:highlight w:val="none"/>
        </w:rPr>
        <w:t>（配额交易制度）</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本市实行碳排放交易制度，交易标的为碳排放配额。</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本市鼓励探索创新碳排放交易相关产品。</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碳排放交易平台设在上海环境能源交易所（以下称“交易所”）。</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　第二十条</w:t>
      </w:r>
      <w:r>
        <w:rPr>
          <w:rFonts w:hint="eastAsia" w:ascii="仿宋_GB2312" w:hAnsi="黑体" w:eastAsia="仿宋_GB2312" w:cs="宋体"/>
          <w:color w:val="000000"/>
          <w:sz w:val="32"/>
          <w:szCs w:val="32"/>
          <w:highlight w:val="none"/>
        </w:rPr>
        <w:t>（交易规则）</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交易所应当制订碳排放交易规则，明确交易参与方的条件、交易参与方的权利义务、交易程序、交易费用、异常情况处理以及纠纷处理等，报经市发展改革部门批准后由交易所公布。</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交易所应当根据碳排放交易规则，制定会员管理、信息发布、结算交割以及风险控制等相关业务细则，并提交市发展改革部门备案。</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第二十一条</w:t>
      </w:r>
      <w:r>
        <w:rPr>
          <w:rFonts w:hint="eastAsia" w:ascii="仿宋_GB2312" w:hAnsi="黑体" w:eastAsia="仿宋_GB2312" w:cs="宋体"/>
          <w:color w:val="000000"/>
          <w:sz w:val="32"/>
          <w:szCs w:val="32"/>
          <w:highlight w:val="none"/>
        </w:rPr>
        <w:t>（交易参与方）</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纳入配额管理的单位以及符合本市碳排放交易规则规定的其他组织和个人，可以参与配额交易活动。</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第二十二条</w:t>
      </w:r>
      <w:r>
        <w:rPr>
          <w:rFonts w:hint="eastAsia" w:ascii="仿宋_GB2312" w:hAnsi="黑体" w:eastAsia="仿宋_GB2312" w:cs="宋体"/>
          <w:color w:val="000000"/>
          <w:sz w:val="32"/>
          <w:szCs w:val="32"/>
          <w:highlight w:val="none"/>
        </w:rPr>
        <w:t>（会员交易）</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交易所会员分为自营类会员和综合类会员。自营类会员可以进行自营业务；综合类会员可以进行自营业务，也可以接受委托从事代理业务。</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纳入配额管理的单位作为交易所的自营类会员，并可以申请作为交易所的综合类会员。</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第二十三条</w:t>
      </w:r>
      <w:r>
        <w:rPr>
          <w:rFonts w:hint="eastAsia" w:ascii="仿宋_GB2312" w:hAnsi="黑体" w:eastAsia="仿宋_GB2312" w:cs="宋体"/>
          <w:color w:val="000000"/>
          <w:sz w:val="32"/>
          <w:szCs w:val="32"/>
          <w:highlight w:val="none"/>
        </w:rPr>
        <w:t>（交易方式）</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配额交易应当采用公开竞价、协议转让以及符合国家和本市规定的其他方式进行。</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第二十四条</w:t>
      </w:r>
      <w:r>
        <w:rPr>
          <w:rFonts w:hint="eastAsia" w:ascii="仿宋_GB2312" w:hAnsi="黑体" w:eastAsia="仿宋_GB2312" w:cs="宋体"/>
          <w:color w:val="000000"/>
          <w:sz w:val="32"/>
          <w:szCs w:val="32"/>
          <w:highlight w:val="none"/>
        </w:rPr>
        <w:t>（交易价格）</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碳排放配额的交易价格，由交易参与方根据市场供需关系自行确定。任何单位和个人不得采取欺诈、恶意串通或者其他方式，操纵碳排放交易价格。</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　第二十五条</w:t>
      </w:r>
      <w:r>
        <w:rPr>
          <w:rFonts w:hint="eastAsia" w:ascii="仿宋_GB2312" w:hAnsi="黑体" w:eastAsia="仿宋_GB2312" w:cs="宋体"/>
          <w:color w:val="000000"/>
          <w:sz w:val="32"/>
          <w:szCs w:val="32"/>
          <w:highlight w:val="none"/>
        </w:rPr>
        <w:t>（交易信息管理）</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交易所应当建立碳排放交易信息管理制度，公布交易行情、成交量、成交金额等交易信息，并及时披露可能影响市场重大变动的相关信息。</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第二十六条</w:t>
      </w:r>
      <w:r>
        <w:rPr>
          <w:rFonts w:hint="eastAsia" w:ascii="仿宋_GB2312" w:hAnsi="黑体" w:eastAsia="仿宋_GB2312" w:cs="宋体"/>
          <w:color w:val="000000"/>
          <w:sz w:val="32"/>
          <w:szCs w:val="32"/>
          <w:highlight w:val="none"/>
        </w:rPr>
        <w:t>（资金结算和配额交割）</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碳排放交易资金的划付，应当通过交易所指定结算银行开设的专用账户办理。结算银行应当按照碳排放交易规则的规定，进行交易资金的管理和划付。</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碳排放交易应当通过登记注册系统，实现配额交割。</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　第二十七条</w:t>
      </w:r>
      <w:r>
        <w:rPr>
          <w:rFonts w:hint="eastAsia" w:ascii="仿宋_GB2312" w:hAnsi="黑体" w:eastAsia="仿宋_GB2312" w:cs="宋体"/>
          <w:color w:val="000000"/>
          <w:sz w:val="32"/>
          <w:szCs w:val="32"/>
          <w:highlight w:val="none"/>
        </w:rPr>
        <w:t>（交易费用）</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交易参与方开展交易活动应当缴纳交易手续费。交易手续费标准由市价格主管部门制定。</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第二十八条</w:t>
      </w:r>
      <w:r>
        <w:rPr>
          <w:rFonts w:hint="eastAsia" w:ascii="仿宋_GB2312" w:hAnsi="黑体" w:eastAsia="仿宋_GB2312" w:cs="宋体"/>
          <w:color w:val="000000"/>
          <w:sz w:val="32"/>
          <w:szCs w:val="32"/>
          <w:highlight w:val="none"/>
        </w:rPr>
        <w:t>（风险管理）</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市发展改革部门根据经济社会发展情况、碳排放控制形势等，会同有关部门采取相应调控措施，维护碳排放交易市场的稳定。</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交易所应当加强碳排放交易风险管理，并建立下列风险管理制度：</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（一）涨跌幅限制制度；</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（二）配额最大持有量限制制度以及大户报告制度；</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（三）风险警示制度；</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（四）风险准备金制度；</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（五）市发展改革部门明确的其他风险管理制度。</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第二十九条</w:t>
      </w:r>
      <w:r>
        <w:rPr>
          <w:rFonts w:hint="eastAsia" w:ascii="仿宋_GB2312" w:hAnsi="黑体" w:eastAsia="仿宋_GB2312" w:cs="宋体"/>
          <w:color w:val="000000"/>
          <w:sz w:val="32"/>
          <w:szCs w:val="32"/>
          <w:highlight w:val="none"/>
        </w:rPr>
        <w:t>（异常情况处理）</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当交易市场出现异常情况时，交易所可以采取调整涨跌幅限制、调整交易参与方的配额最大持有量限额、暂时停止交易等紧急措施，并应当立即报告市发展改革部门。异常情况消失后，交易所应当及时取消紧急措施。</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前款所称异常情况，是指在交易中发生操纵交易价格的行为或者发生不可抗拒的突发事件以及市发展改革部门明确的其他情形。</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　第三十条</w:t>
      </w:r>
      <w:r>
        <w:rPr>
          <w:rFonts w:hint="eastAsia" w:ascii="仿宋_GB2312" w:hAnsi="黑体" w:eastAsia="仿宋_GB2312" w:cs="宋体"/>
          <w:color w:val="000000"/>
          <w:sz w:val="32"/>
          <w:szCs w:val="32"/>
          <w:highlight w:val="none"/>
        </w:rPr>
        <w:t>（区域交易）</w:t>
      </w:r>
    </w:p>
    <w:p>
      <w:pPr>
        <w:pStyle w:val="3"/>
        <w:keepNext w:val="0"/>
        <w:keepLines w:val="0"/>
        <w:pageBreakBefore w:val="0"/>
        <w:kinsoku/>
        <w:wordWrap/>
        <w:overflowPunct/>
        <w:topLinePunct w:val="0"/>
        <w:autoSpaceDE/>
        <w:autoSpaceDN/>
        <w:bidi w:val="0"/>
        <w:adjustRightInd/>
        <w:snapToGrid/>
        <w:ind w:firstLine="420"/>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本市探索建立跨区域碳排放交易市场，鼓励其他区域企业参与本市碳排放交易。</w:t>
      </w:r>
    </w:p>
    <w:p>
      <w:pPr>
        <w:pStyle w:val="3"/>
        <w:keepNext w:val="0"/>
        <w:keepLines w:val="0"/>
        <w:pageBreakBefore w:val="0"/>
        <w:kinsoku/>
        <w:wordWrap/>
        <w:overflowPunct/>
        <w:topLinePunct w:val="0"/>
        <w:autoSpaceDE/>
        <w:autoSpaceDN/>
        <w:bidi w:val="0"/>
        <w:adjustRightInd/>
        <w:snapToGrid/>
        <w:ind w:firstLine="420"/>
        <w:textAlignment w:val="auto"/>
        <w:rPr>
          <w:rFonts w:ascii="仿宋_GB2312" w:hAnsi="黑体" w:eastAsia="仿宋_GB2312" w:cs="宋体"/>
          <w:color w:val="000000"/>
          <w:sz w:val="32"/>
          <w:szCs w:val="32"/>
          <w:highlight w:val="none"/>
        </w:rPr>
      </w:pPr>
    </w:p>
    <w:p>
      <w:pPr>
        <w:pStyle w:val="3"/>
        <w:keepNext w:val="0"/>
        <w:keepLines w:val="0"/>
        <w:pageBreakBefore w:val="0"/>
        <w:kinsoku/>
        <w:wordWrap/>
        <w:overflowPunct/>
        <w:topLinePunct w:val="0"/>
        <w:autoSpaceDE/>
        <w:autoSpaceDN/>
        <w:bidi w:val="0"/>
        <w:adjustRightInd/>
        <w:snapToGrid/>
        <w:jc w:val="center"/>
        <w:textAlignment w:val="auto"/>
        <w:rPr>
          <w:rFonts w:ascii="黑体" w:hAnsi="黑体" w:eastAsia="黑体" w:cs="宋体"/>
          <w:color w:val="000000"/>
          <w:sz w:val="32"/>
          <w:szCs w:val="32"/>
          <w:highlight w:val="none"/>
        </w:rPr>
      </w:pPr>
      <w:r>
        <w:rPr>
          <w:rFonts w:hint="eastAsia" w:ascii="黑体" w:hAnsi="黑体" w:eastAsia="黑体" w:cs="宋体"/>
          <w:color w:val="000000"/>
          <w:sz w:val="32"/>
          <w:szCs w:val="32"/>
          <w:highlight w:val="none"/>
        </w:rPr>
        <w:t>　　第五章  监督与保障</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p>
    <w:p>
      <w:pPr>
        <w:pStyle w:val="3"/>
        <w:keepNext w:val="0"/>
        <w:keepLines w:val="0"/>
        <w:pageBreakBefore w:val="0"/>
        <w:kinsoku/>
        <w:wordWrap/>
        <w:overflowPunct/>
        <w:topLinePunct w:val="0"/>
        <w:autoSpaceDE/>
        <w:autoSpaceDN/>
        <w:bidi w:val="0"/>
        <w:adjustRightInd/>
        <w:snapToGrid/>
        <w:ind w:firstLine="640" w:firstLineChars="200"/>
        <w:textAlignment w:val="auto"/>
        <w:rPr>
          <w:rFonts w:ascii="仿宋_GB2312" w:hAnsi="黑体" w:eastAsia="仿宋_GB2312" w:cs="宋体"/>
          <w:color w:val="000000"/>
          <w:sz w:val="32"/>
          <w:szCs w:val="32"/>
          <w:highlight w:val="none"/>
        </w:rPr>
      </w:pPr>
      <w:r>
        <w:rPr>
          <w:rFonts w:hint="eastAsia" w:ascii="黑体" w:hAnsi="黑体" w:eastAsia="黑体" w:cs="宋体"/>
          <w:color w:val="000000"/>
          <w:sz w:val="32"/>
          <w:szCs w:val="32"/>
          <w:highlight w:val="none"/>
        </w:rPr>
        <w:t>第三十一条</w:t>
      </w:r>
      <w:r>
        <w:rPr>
          <w:rFonts w:hint="eastAsia" w:ascii="仿宋_GB2312" w:hAnsi="黑体" w:eastAsia="仿宋_GB2312" w:cs="宋体"/>
          <w:color w:val="000000"/>
          <w:sz w:val="32"/>
          <w:szCs w:val="32"/>
          <w:highlight w:val="none"/>
        </w:rPr>
        <w:t>（监督管理）</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市发展改革部门应当对下列活动加强监督管理：</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（一）纳入配额管理单位的碳排放监测、报告以及配额清缴等活动；</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（二）第三方机构开展碳排放核查工作的活动；</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（三）交易所开展碳排放交易、资金结算、配额交割等活动；</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（四）与碳排放配额管理以及碳排放交易有关的其他活动。</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市发展改革部门实施监督管理时，可以采取下列措施：</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（一）对纳入配额管理单位、交易所、第三方机构等进行现场检查；</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（二）询问当事人及与被调查事件有关的单位和个人；</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（三）查阅、复制当事人及与被调查事件有关的单位和个人的碳排放交易记录、财务会计资料以及其他相关文件和资料。</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第三十二条</w:t>
      </w:r>
      <w:r>
        <w:rPr>
          <w:rFonts w:hint="eastAsia" w:ascii="仿宋_GB2312" w:hAnsi="黑体" w:eastAsia="仿宋_GB2312" w:cs="宋体"/>
          <w:color w:val="000000"/>
          <w:sz w:val="32"/>
          <w:szCs w:val="32"/>
          <w:highlight w:val="none"/>
        </w:rPr>
        <w:t>（登记系统）</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本市建立碳排放配额登记注册系统，对碳排放配额实行统一登记。</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配额的取得、转让、变更、清缴、注销等应当依法登记，并自登记日起生效。</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第三十三条</w:t>
      </w:r>
      <w:r>
        <w:rPr>
          <w:rFonts w:hint="eastAsia" w:ascii="仿宋_GB2312" w:hAnsi="黑体" w:eastAsia="仿宋_GB2312" w:cs="宋体"/>
          <w:color w:val="000000"/>
          <w:sz w:val="32"/>
          <w:szCs w:val="32"/>
          <w:highlight w:val="none"/>
        </w:rPr>
        <w:t>（交易所）</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交易所应当配备专业人员，建立健全各项规章制度，加强对交易活动的风险控制和内部监督管理，并履行下列职责：</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（一）为碳排放交易提供交易场所、系统设施和交易服务；</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（二）组织并监督交易、结算和交割；</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（三）对会员及其客户等交易参与方进行监督管理；</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（四）市发展改革部门明确的其他职责。</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交易所及其工作人员应当自觉遵守相关法律、法规、规章的规定，执行交易规则的各项制度，定期向市发展改革部门报告交易情况，接受市发展改革部门的指导和监督。</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第三十四条</w:t>
      </w:r>
      <w:r>
        <w:rPr>
          <w:rFonts w:hint="eastAsia" w:ascii="仿宋_GB2312" w:hAnsi="黑体" w:eastAsia="仿宋_GB2312" w:cs="宋体"/>
          <w:color w:val="000000"/>
          <w:sz w:val="32"/>
          <w:szCs w:val="32"/>
          <w:highlight w:val="none"/>
        </w:rPr>
        <w:t>（金融支持）</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鼓励银行等金融机构优先为纳入配额管理的单位提供与节能减碳项目相关的融资支持，并探索碳排放配额担保融资等新型金融服务。</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第三十五条</w:t>
      </w:r>
      <w:r>
        <w:rPr>
          <w:rFonts w:hint="eastAsia" w:ascii="仿宋_GB2312" w:hAnsi="黑体" w:eastAsia="仿宋_GB2312" w:cs="宋体"/>
          <w:color w:val="000000"/>
          <w:sz w:val="32"/>
          <w:szCs w:val="32"/>
          <w:highlight w:val="none"/>
        </w:rPr>
        <w:t>（财政支持）</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本市在节能减排专项资金中安排资金，支持本市碳排放管理相关能力建设活动。</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第三十六条</w:t>
      </w:r>
      <w:r>
        <w:rPr>
          <w:rFonts w:hint="eastAsia" w:ascii="仿宋_GB2312" w:hAnsi="黑体" w:eastAsia="仿宋_GB2312" w:cs="宋体"/>
          <w:color w:val="000000"/>
          <w:sz w:val="32"/>
          <w:szCs w:val="32"/>
          <w:highlight w:val="none"/>
        </w:rPr>
        <w:t>（政策支持）</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纳入配额管理的单位开展节能改造、淘汰落后产能、开发利用可再生能源等，可以继续享受本市规定的节能减排专项资金支持政策。</w:t>
      </w:r>
    </w:p>
    <w:p>
      <w:pPr>
        <w:pStyle w:val="3"/>
        <w:keepNext w:val="0"/>
        <w:keepLines w:val="0"/>
        <w:pageBreakBefore w:val="0"/>
        <w:kinsoku/>
        <w:wordWrap/>
        <w:overflowPunct/>
        <w:topLinePunct w:val="0"/>
        <w:autoSpaceDE/>
        <w:autoSpaceDN/>
        <w:bidi w:val="0"/>
        <w:adjustRightInd/>
        <w:snapToGrid/>
        <w:ind w:firstLine="420"/>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本市支持纳入配额管理的单位优先申报国家节能减排相关扶持政策和预算内投资的资金支持项目。本市节能减排相关扶持政策，优先支持纳入配额管理的单位所申报的项目。</w:t>
      </w:r>
    </w:p>
    <w:p>
      <w:pPr>
        <w:pStyle w:val="3"/>
        <w:keepNext w:val="0"/>
        <w:keepLines w:val="0"/>
        <w:pageBreakBefore w:val="0"/>
        <w:kinsoku/>
        <w:wordWrap/>
        <w:overflowPunct/>
        <w:topLinePunct w:val="0"/>
        <w:autoSpaceDE/>
        <w:autoSpaceDN/>
        <w:bidi w:val="0"/>
        <w:adjustRightInd/>
        <w:snapToGrid/>
        <w:ind w:firstLine="420"/>
        <w:textAlignment w:val="auto"/>
        <w:rPr>
          <w:rFonts w:ascii="仿宋_GB2312" w:hAnsi="黑体" w:eastAsia="仿宋_GB2312" w:cs="宋体"/>
          <w:color w:val="000000"/>
          <w:sz w:val="32"/>
          <w:szCs w:val="32"/>
          <w:highlight w:val="none"/>
        </w:rPr>
      </w:pPr>
    </w:p>
    <w:p>
      <w:pPr>
        <w:pStyle w:val="3"/>
        <w:keepNext w:val="0"/>
        <w:keepLines w:val="0"/>
        <w:pageBreakBefore w:val="0"/>
        <w:kinsoku/>
        <w:wordWrap/>
        <w:overflowPunct/>
        <w:topLinePunct w:val="0"/>
        <w:autoSpaceDE/>
        <w:autoSpaceDN/>
        <w:bidi w:val="0"/>
        <w:adjustRightInd/>
        <w:snapToGrid/>
        <w:jc w:val="center"/>
        <w:textAlignment w:val="auto"/>
        <w:rPr>
          <w:rFonts w:ascii="黑体" w:hAnsi="黑体" w:eastAsia="黑体" w:cs="宋体"/>
          <w:color w:val="000000"/>
          <w:sz w:val="32"/>
          <w:szCs w:val="32"/>
          <w:highlight w:val="none"/>
        </w:rPr>
      </w:pPr>
      <w:r>
        <w:rPr>
          <w:rFonts w:hint="eastAsia" w:ascii="黑体" w:hAnsi="黑体" w:eastAsia="黑体" w:cs="宋体"/>
          <w:color w:val="000000"/>
          <w:sz w:val="32"/>
          <w:szCs w:val="32"/>
          <w:highlight w:val="none"/>
        </w:rPr>
        <w:t>　　第六章  法律责任</w:t>
      </w:r>
    </w:p>
    <w:p>
      <w:pPr>
        <w:pStyle w:val="3"/>
        <w:keepNext w:val="0"/>
        <w:keepLines w:val="0"/>
        <w:pageBreakBefore w:val="0"/>
        <w:kinsoku/>
        <w:wordWrap/>
        <w:overflowPunct/>
        <w:topLinePunct w:val="0"/>
        <w:autoSpaceDE/>
        <w:autoSpaceDN/>
        <w:bidi w:val="0"/>
        <w:adjustRightInd/>
        <w:snapToGrid/>
        <w:textAlignment w:val="auto"/>
        <w:rPr>
          <w:rFonts w:ascii="黑体" w:hAnsi="黑体" w:eastAsia="黑体"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　</w:t>
      </w:r>
    </w:p>
    <w:p>
      <w:pPr>
        <w:pStyle w:val="3"/>
        <w:keepNext w:val="0"/>
        <w:keepLines w:val="0"/>
        <w:pageBreakBefore w:val="0"/>
        <w:kinsoku/>
        <w:wordWrap/>
        <w:overflowPunct/>
        <w:topLinePunct w:val="0"/>
        <w:autoSpaceDE/>
        <w:autoSpaceDN/>
        <w:bidi w:val="0"/>
        <w:adjustRightInd/>
        <w:snapToGrid/>
        <w:ind w:firstLine="640" w:firstLineChars="200"/>
        <w:textAlignment w:val="auto"/>
        <w:rPr>
          <w:rFonts w:ascii="仿宋_GB2312" w:hAnsi="黑体" w:eastAsia="仿宋_GB2312" w:cs="宋体"/>
          <w:color w:val="000000"/>
          <w:sz w:val="32"/>
          <w:szCs w:val="32"/>
          <w:highlight w:val="none"/>
        </w:rPr>
      </w:pPr>
      <w:r>
        <w:rPr>
          <w:rFonts w:hint="eastAsia" w:ascii="黑体" w:hAnsi="黑体" w:eastAsia="黑体" w:cs="宋体"/>
          <w:color w:val="000000"/>
          <w:sz w:val="32"/>
          <w:szCs w:val="32"/>
          <w:highlight w:val="none"/>
        </w:rPr>
        <w:t>第三十七条</w:t>
      </w:r>
      <w:r>
        <w:rPr>
          <w:rFonts w:hint="eastAsia" w:ascii="仿宋_GB2312" w:hAnsi="黑体" w:eastAsia="仿宋_GB2312" w:cs="宋体"/>
          <w:color w:val="000000"/>
          <w:sz w:val="32"/>
          <w:szCs w:val="32"/>
          <w:highlight w:val="none"/>
        </w:rPr>
        <w:t>（未履行报告义务的处罚）</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纳入配额管理的单位违反本办法第十二条的规定，虚报、瞒报或者拒绝履行报告义务的，由市发展改革部门责令限期改正；逾期未改正的，处以</w:t>
      </w:r>
      <w:r>
        <w:rPr>
          <w:rFonts w:ascii="仿宋_GB2312" w:hAnsi="黑体" w:eastAsia="仿宋_GB2312" w:cs="宋体"/>
          <w:color w:val="000000"/>
          <w:sz w:val="32"/>
          <w:szCs w:val="32"/>
          <w:highlight w:val="none"/>
        </w:rPr>
        <w:t>1</w:t>
      </w:r>
      <w:r>
        <w:rPr>
          <w:rFonts w:hint="eastAsia" w:ascii="仿宋_GB2312" w:hAnsi="黑体" w:eastAsia="仿宋_GB2312" w:cs="宋体"/>
          <w:color w:val="000000"/>
          <w:sz w:val="32"/>
          <w:szCs w:val="32"/>
          <w:highlight w:val="none"/>
        </w:rPr>
        <w:t>万元以上</w:t>
      </w:r>
      <w:r>
        <w:rPr>
          <w:rFonts w:ascii="仿宋_GB2312" w:hAnsi="黑体" w:eastAsia="仿宋_GB2312" w:cs="宋体"/>
          <w:color w:val="000000"/>
          <w:sz w:val="32"/>
          <w:szCs w:val="32"/>
          <w:highlight w:val="none"/>
        </w:rPr>
        <w:t>3</w:t>
      </w:r>
      <w:r>
        <w:rPr>
          <w:rFonts w:hint="eastAsia" w:ascii="仿宋_GB2312" w:hAnsi="黑体" w:eastAsia="仿宋_GB2312" w:cs="宋体"/>
          <w:color w:val="000000"/>
          <w:sz w:val="32"/>
          <w:szCs w:val="32"/>
          <w:highlight w:val="none"/>
        </w:rPr>
        <w:t>万元以下的罚款。</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黑体" w:hAnsi="黑体" w:eastAsia="黑体" w:cs="宋体"/>
          <w:color w:val="000000"/>
          <w:sz w:val="32"/>
          <w:szCs w:val="32"/>
          <w:highlight w:val="none"/>
        </w:rPr>
        <w:t>　　第三十八条</w:t>
      </w:r>
      <w:r>
        <w:rPr>
          <w:rFonts w:hint="eastAsia" w:ascii="仿宋_GB2312" w:hAnsi="黑体" w:eastAsia="仿宋_GB2312" w:cs="宋体"/>
          <w:color w:val="000000"/>
          <w:sz w:val="32"/>
          <w:szCs w:val="32"/>
          <w:highlight w:val="none"/>
        </w:rPr>
        <w:t>（未按规定接受核查的处罚）</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纳入配额管理的单位违反本办法第十三条第二款的规定，在第三方机构开展核查工作时提供虚假、不实的文件资料，或者隐瞒重要信息的，由市发展改革部门责令限期改正；逾期未改正的，处以</w:t>
      </w:r>
      <w:r>
        <w:rPr>
          <w:rFonts w:ascii="仿宋_GB2312" w:hAnsi="黑体" w:eastAsia="仿宋_GB2312" w:cs="宋体"/>
          <w:color w:val="000000"/>
          <w:sz w:val="32"/>
          <w:szCs w:val="32"/>
          <w:highlight w:val="none"/>
        </w:rPr>
        <w:t>1</w:t>
      </w:r>
      <w:r>
        <w:rPr>
          <w:rFonts w:hint="eastAsia" w:ascii="仿宋_GB2312" w:hAnsi="黑体" w:eastAsia="仿宋_GB2312" w:cs="宋体"/>
          <w:color w:val="000000"/>
          <w:sz w:val="32"/>
          <w:szCs w:val="32"/>
          <w:highlight w:val="none"/>
        </w:rPr>
        <w:t>万元以上</w:t>
      </w:r>
      <w:r>
        <w:rPr>
          <w:rFonts w:ascii="仿宋_GB2312" w:hAnsi="黑体" w:eastAsia="仿宋_GB2312" w:cs="宋体"/>
          <w:color w:val="000000"/>
          <w:sz w:val="32"/>
          <w:szCs w:val="32"/>
          <w:highlight w:val="none"/>
        </w:rPr>
        <w:t>3</w:t>
      </w:r>
      <w:r>
        <w:rPr>
          <w:rFonts w:hint="eastAsia" w:ascii="仿宋_GB2312" w:hAnsi="黑体" w:eastAsia="仿宋_GB2312" w:cs="宋体"/>
          <w:color w:val="000000"/>
          <w:sz w:val="32"/>
          <w:szCs w:val="32"/>
          <w:highlight w:val="none"/>
        </w:rPr>
        <w:t>万元以下的罚款；无理抗拒、阻碍第三方机构开展核查工作的，由市发展改革部门责令限期改正，处以</w:t>
      </w:r>
      <w:r>
        <w:rPr>
          <w:rFonts w:ascii="仿宋_GB2312" w:hAnsi="黑体" w:eastAsia="仿宋_GB2312" w:cs="宋体"/>
          <w:color w:val="000000"/>
          <w:sz w:val="32"/>
          <w:szCs w:val="32"/>
          <w:highlight w:val="none"/>
        </w:rPr>
        <w:t>3</w:t>
      </w:r>
      <w:r>
        <w:rPr>
          <w:rFonts w:hint="eastAsia" w:ascii="仿宋_GB2312" w:hAnsi="黑体" w:eastAsia="仿宋_GB2312" w:cs="宋体"/>
          <w:color w:val="000000"/>
          <w:sz w:val="32"/>
          <w:szCs w:val="32"/>
          <w:highlight w:val="none"/>
        </w:rPr>
        <w:t>万元以上</w:t>
      </w:r>
      <w:r>
        <w:rPr>
          <w:rFonts w:ascii="仿宋_GB2312" w:hAnsi="黑体" w:eastAsia="仿宋_GB2312" w:cs="宋体"/>
          <w:color w:val="000000"/>
          <w:sz w:val="32"/>
          <w:szCs w:val="32"/>
          <w:highlight w:val="none"/>
        </w:rPr>
        <w:t>5</w:t>
      </w:r>
      <w:r>
        <w:rPr>
          <w:rFonts w:hint="eastAsia" w:ascii="仿宋_GB2312" w:hAnsi="黑体" w:eastAsia="仿宋_GB2312" w:cs="宋体"/>
          <w:color w:val="000000"/>
          <w:sz w:val="32"/>
          <w:szCs w:val="32"/>
          <w:highlight w:val="none"/>
        </w:rPr>
        <w:t>万元以下的罚款。</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第三十九条</w:t>
      </w:r>
      <w:r>
        <w:rPr>
          <w:rFonts w:hint="eastAsia" w:ascii="仿宋_GB2312" w:hAnsi="黑体" w:eastAsia="仿宋_GB2312" w:cs="宋体"/>
          <w:color w:val="000000"/>
          <w:sz w:val="32"/>
          <w:szCs w:val="32"/>
          <w:highlight w:val="none"/>
        </w:rPr>
        <w:t>（未履行配额清缴义务的处罚）</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纳入配额管理的单位未按照本办法第十六条的规定履行配额清缴义务的，由市发展改革部门责令履行配额清缴义务，并可处以</w:t>
      </w:r>
      <w:r>
        <w:rPr>
          <w:rFonts w:ascii="仿宋_GB2312" w:hAnsi="黑体" w:eastAsia="仿宋_GB2312" w:cs="宋体"/>
          <w:color w:val="000000"/>
          <w:sz w:val="32"/>
          <w:szCs w:val="32"/>
          <w:highlight w:val="none"/>
        </w:rPr>
        <w:t>5</w:t>
      </w:r>
      <w:r>
        <w:rPr>
          <w:rFonts w:hint="eastAsia" w:ascii="仿宋_GB2312" w:hAnsi="黑体" w:eastAsia="仿宋_GB2312" w:cs="宋体"/>
          <w:color w:val="000000"/>
          <w:sz w:val="32"/>
          <w:szCs w:val="32"/>
          <w:highlight w:val="none"/>
        </w:rPr>
        <w:t>万元以上</w:t>
      </w:r>
      <w:r>
        <w:rPr>
          <w:rFonts w:ascii="仿宋_GB2312" w:hAnsi="黑体" w:eastAsia="仿宋_GB2312" w:cs="宋体"/>
          <w:color w:val="000000"/>
          <w:sz w:val="32"/>
          <w:szCs w:val="32"/>
          <w:highlight w:val="none"/>
        </w:rPr>
        <w:t>10</w:t>
      </w:r>
      <w:r>
        <w:rPr>
          <w:rFonts w:hint="eastAsia" w:ascii="仿宋_GB2312" w:hAnsi="黑体" w:eastAsia="仿宋_GB2312" w:cs="宋体"/>
          <w:color w:val="000000"/>
          <w:sz w:val="32"/>
          <w:szCs w:val="32"/>
          <w:highlight w:val="none"/>
        </w:rPr>
        <w:t>万元以下罚款。</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第四十条</w:t>
      </w:r>
      <w:r>
        <w:rPr>
          <w:rFonts w:hint="eastAsia" w:ascii="仿宋_GB2312" w:hAnsi="黑体" w:eastAsia="仿宋_GB2312" w:cs="宋体"/>
          <w:color w:val="000000"/>
          <w:sz w:val="32"/>
          <w:szCs w:val="32"/>
          <w:highlight w:val="none"/>
        </w:rPr>
        <w:t>（行政处理措施）</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纳入配额管理的单位违反本办法第十二条、第十三条第二款、第十六条的规定，除适用本办法第三十七条、第三十八条、第三十九条的规定外，市发展改革部门还可以采取以下措施：</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（一）将其违法行为按照有关规定，记入该单位的信用信息记录，向工商、税务、金融等部门通报有关情况，并通过政府网站或者媒体向社会公布；</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（二）取消其享受当年度及下一年度本市节能减排专项资金支持政策的资格，以及</w:t>
      </w:r>
      <w:r>
        <w:rPr>
          <w:rFonts w:ascii="仿宋_GB2312" w:hAnsi="黑体" w:eastAsia="仿宋_GB2312" w:cs="宋体"/>
          <w:color w:val="000000"/>
          <w:sz w:val="32"/>
          <w:szCs w:val="32"/>
          <w:highlight w:val="none"/>
        </w:rPr>
        <w:t>3</w:t>
      </w:r>
      <w:r>
        <w:rPr>
          <w:rFonts w:hint="eastAsia" w:ascii="仿宋_GB2312" w:hAnsi="黑体" w:eastAsia="仿宋_GB2312" w:cs="宋体"/>
          <w:color w:val="000000"/>
          <w:sz w:val="32"/>
          <w:szCs w:val="32"/>
          <w:highlight w:val="none"/>
        </w:rPr>
        <w:t>年内参与本市节能减排先进集体和个人评比的资格；</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（三）将其违法行为告知本市相关项目审批部门，并由项目审批部门对其下一年度新建固定资产投资项目节能评估报告表或者节能评估报告书不予受理。</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第四十一条</w:t>
      </w:r>
      <w:r>
        <w:rPr>
          <w:rFonts w:hint="eastAsia" w:ascii="仿宋_GB2312" w:hAnsi="黑体" w:eastAsia="仿宋_GB2312" w:cs="宋体"/>
          <w:color w:val="000000"/>
          <w:sz w:val="32"/>
          <w:szCs w:val="32"/>
          <w:highlight w:val="none"/>
        </w:rPr>
        <w:t>（第三方机构责任）</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第三方机构违反本办法第十三条第三款规定，有下列情形之一的，由市发展改革部门责令限期改正，处以</w:t>
      </w:r>
      <w:r>
        <w:rPr>
          <w:rFonts w:ascii="仿宋_GB2312" w:hAnsi="黑体" w:eastAsia="仿宋_GB2312" w:cs="宋体"/>
          <w:color w:val="000000"/>
          <w:sz w:val="32"/>
          <w:szCs w:val="32"/>
          <w:highlight w:val="none"/>
        </w:rPr>
        <w:t>3</w:t>
      </w:r>
      <w:r>
        <w:rPr>
          <w:rFonts w:hint="eastAsia" w:ascii="仿宋_GB2312" w:hAnsi="黑体" w:eastAsia="仿宋_GB2312" w:cs="宋体"/>
          <w:color w:val="000000"/>
          <w:sz w:val="32"/>
          <w:szCs w:val="32"/>
          <w:highlight w:val="none"/>
        </w:rPr>
        <w:t>万元以上</w:t>
      </w:r>
      <w:r>
        <w:rPr>
          <w:rFonts w:ascii="仿宋_GB2312" w:hAnsi="黑体" w:eastAsia="仿宋_GB2312" w:cs="宋体"/>
          <w:color w:val="000000"/>
          <w:sz w:val="32"/>
          <w:szCs w:val="32"/>
          <w:highlight w:val="none"/>
        </w:rPr>
        <w:t>10</w:t>
      </w:r>
      <w:r>
        <w:rPr>
          <w:rFonts w:hint="eastAsia" w:ascii="仿宋_GB2312" w:hAnsi="黑体" w:eastAsia="仿宋_GB2312" w:cs="宋体"/>
          <w:color w:val="000000"/>
          <w:sz w:val="32"/>
          <w:szCs w:val="32"/>
          <w:highlight w:val="none"/>
        </w:rPr>
        <w:t>万元以下罚款：</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（一）出具虚假、不实核查报告的；</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（二）核查报告存在重大错误的；</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（三）未经许可擅自使用或者发布被核查单位的商业秘密和碳排放信息的。</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第四十二条</w:t>
      </w:r>
      <w:r>
        <w:rPr>
          <w:rFonts w:hint="eastAsia" w:ascii="仿宋_GB2312" w:hAnsi="黑体" w:eastAsia="仿宋_GB2312" w:cs="宋体"/>
          <w:color w:val="000000"/>
          <w:sz w:val="32"/>
          <w:szCs w:val="32"/>
          <w:highlight w:val="none"/>
        </w:rPr>
        <w:t>（交易所责任）</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交易所有下列行为之一的，由市发展改革部门责令限期改正，处以</w:t>
      </w:r>
      <w:r>
        <w:rPr>
          <w:rFonts w:ascii="仿宋_GB2312" w:hAnsi="黑体" w:eastAsia="仿宋_GB2312" w:cs="宋体"/>
          <w:color w:val="000000"/>
          <w:sz w:val="32"/>
          <w:szCs w:val="32"/>
          <w:highlight w:val="none"/>
        </w:rPr>
        <w:t>1</w:t>
      </w:r>
      <w:r>
        <w:rPr>
          <w:rFonts w:hint="eastAsia" w:ascii="仿宋_GB2312" w:hAnsi="黑体" w:eastAsia="仿宋_GB2312" w:cs="宋体"/>
          <w:color w:val="000000"/>
          <w:sz w:val="32"/>
          <w:szCs w:val="32"/>
          <w:highlight w:val="none"/>
        </w:rPr>
        <w:t>万元以上</w:t>
      </w:r>
      <w:r>
        <w:rPr>
          <w:rFonts w:ascii="仿宋_GB2312" w:hAnsi="黑体" w:eastAsia="仿宋_GB2312" w:cs="宋体"/>
          <w:color w:val="000000"/>
          <w:sz w:val="32"/>
          <w:szCs w:val="32"/>
          <w:highlight w:val="none"/>
        </w:rPr>
        <w:t>5</w:t>
      </w:r>
      <w:r>
        <w:rPr>
          <w:rFonts w:hint="eastAsia" w:ascii="仿宋_GB2312" w:hAnsi="黑体" w:eastAsia="仿宋_GB2312" w:cs="宋体"/>
          <w:color w:val="000000"/>
          <w:sz w:val="32"/>
          <w:szCs w:val="32"/>
          <w:highlight w:val="none"/>
        </w:rPr>
        <w:t>万元以下罚款：</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（一）未按照规定公布交易信息的；</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（二）违反规定收取交易手续费的；</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（三）未建立并执行风险管理制度的；</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（四）未按照规定向市发展改革部门报送有关文件、资料的。</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第四十三条</w:t>
      </w:r>
      <w:r>
        <w:rPr>
          <w:rFonts w:hint="eastAsia" w:ascii="仿宋_GB2312" w:hAnsi="黑体" w:eastAsia="仿宋_GB2312" w:cs="宋体"/>
          <w:color w:val="000000"/>
          <w:sz w:val="32"/>
          <w:szCs w:val="32"/>
          <w:highlight w:val="none"/>
        </w:rPr>
        <w:t>（行政责任）</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市发展改革部门和其他有关部门的工作人员有下列行为之一的，依法给予警告、记过或者记大过处分；情节严重的，给予降级、撤职或者开除处分；构成犯罪的，依法追究刑事责任：</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（一）在配额分配、碳排放核查、碳排放量审定、第三方机构管理等工作中，徇私舞弊或者谋取不正当利益的；</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（二）对发现的违法行为不依法纠正、查处的；</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（三）违规泄露与碳排放交易相关的保密信息，造成严重影响的；</w:t>
      </w:r>
    </w:p>
    <w:p>
      <w:pPr>
        <w:pStyle w:val="3"/>
        <w:keepNext w:val="0"/>
        <w:keepLines w:val="0"/>
        <w:pageBreakBefore w:val="0"/>
        <w:kinsoku/>
        <w:wordWrap/>
        <w:overflowPunct/>
        <w:topLinePunct w:val="0"/>
        <w:autoSpaceDE/>
        <w:autoSpaceDN/>
        <w:bidi w:val="0"/>
        <w:adjustRightInd/>
        <w:snapToGrid/>
        <w:ind w:firstLine="420"/>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（四）其他未依法履行监督管理职责的情形。</w:t>
      </w:r>
    </w:p>
    <w:p>
      <w:pPr>
        <w:pStyle w:val="3"/>
        <w:keepNext w:val="0"/>
        <w:keepLines w:val="0"/>
        <w:pageBreakBefore w:val="0"/>
        <w:kinsoku/>
        <w:wordWrap/>
        <w:overflowPunct/>
        <w:topLinePunct w:val="0"/>
        <w:autoSpaceDE/>
        <w:autoSpaceDN/>
        <w:bidi w:val="0"/>
        <w:adjustRightInd/>
        <w:snapToGrid/>
        <w:ind w:firstLine="420"/>
        <w:textAlignment w:val="auto"/>
        <w:rPr>
          <w:rFonts w:ascii="仿宋_GB2312" w:hAnsi="黑体" w:eastAsia="仿宋_GB2312" w:cs="宋体"/>
          <w:color w:val="000000"/>
          <w:sz w:val="32"/>
          <w:szCs w:val="32"/>
          <w:highlight w:val="none"/>
        </w:rPr>
      </w:pPr>
    </w:p>
    <w:p>
      <w:pPr>
        <w:pStyle w:val="3"/>
        <w:keepNext w:val="0"/>
        <w:keepLines w:val="0"/>
        <w:pageBreakBefore w:val="0"/>
        <w:kinsoku/>
        <w:wordWrap/>
        <w:overflowPunct/>
        <w:topLinePunct w:val="0"/>
        <w:autoSpaceDE/>
        <w:autoSpaceDN/>
        <w:bidi w:val="0"/>
        <w:adjustRightInd/>
        <w:snapToGrid/>
        <w:jc w:val="center"/>
        <w:textAlignment w:val="auto"/>
        <w:rPr>
          <w:rFonts w:ascii="黑体" w:hAnsi="黑体" w:eastAsia="黑体" w:cs="宋体"/>
          <w:color w:val="000000"/>
          <w:sz w:val="32"/>
          <w:szCs w:val="32"/>
          <w:highlight w:val="none"/>
        </w:rPr>
      </w:pPr>
      <w:r>
        <w:rPr>
          <w:rFonts w:hint="eastAsia" w:ascii="黑体" w:hAnsi="黑体" w:eastAsia="黑体" w:cs="宋体"/>
          <w:color w:val="000000"/>
          <w:sz w:val="32"/>
          <w:szCs w:val="32"/>
          <w:highlight w:val="none"/>
        </w:rPr>
        <w:t>　　第七章  附</w:t>
      </w:r>
      <w:r>
        <w:rPr>
          <w:rFonts w:hint="eastAsia" w:ascii="黑体" w:hAnsi="黑体" w:eastAsia="黑体" w:cs="宋体"/>
          <w:color w:val="000000"/>
          <w:sz w:val="32"/>
          <w:szCs w:val="32"/>
          <w:highlight w:val="none"/>
          <w:lang w:val="en-US" w:eastAsia="zh-CN"/>
        </w:rPr>
        <w:t xml:space="preserve">  </w:t>
      </w:r>
      <w:r>
        <w:rPr>
          <w:rFonts w:hint="eastAsia" w:ascii="黑体" w:hAnsi="黑体" w:eastAsia="黑体" w:cs="宋体"/>
          <w:color w:val="000000"/>
          <w:sz w:val="32"/>
          <w:szCs w:val="32"/>
          <w:highlight w:val="none"/>
        </w:rPr>
        <w:t>则</w:t>
      </w:r>
    </w:p>
    <w:p>
      <w:pPr>
        <w:pStyle w:val="3"/>
        <w:keepNext w:val="0"/>
        <w:keepLines w:val="0"/>
        <w:pageBreakBefore w:val="0"/>
        <w:kinsoku/>
        <w:wordWrap/>
        <w:overflowPunct/>
        <w:topLinePunct w:val="0"/>
        <w:autoSpaceDE/>
        <w:autoSpaceDN/>
        <w:bidi w:val="0"/>
        <w:adjustRightInd/>
        <w:snapToGrid/>
        <w:textAlignment w:val="auto"/>
        <w:rPr>
          <w:rFonts w:ascii="黑体" w:hAnsi="黑体" w:eastAsia="黑体"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　</w:t>
      </w:r>
    </w:p>
    <w:p>
      <w:pPr>
        <w:pStyle w:val="3"/>
        <w:keepNext w:val="0"/>
        <w:keepLines w:val="0"/>
        <w:pageBreakBefore w:val="0"/>
        <w:kinsoku/>
        <w:wordWrap/>
        <w:overflowPunct/>
        <w:topLinePunct w:val="0"/>
        <w:autoSpaceDE/>
        <w:autoSpaceDN/>
        <w:bidi w:val="0"/>
        <w:adjustRightInd/>
        <w:snapToGrid/>
        <w:ind w:firstLine="640" w:firstLineChars="200"/>
        <w:textAlignment w:val="auto"/>
        <w:rPr>
          <w:rFonts w:ascii="仿宋_GB2312" w:hAnsi="黑体" w:eastAsia="仿宋_GB2312" w:cs="宋体"/>
          <w:color w:val="000000"/>
          <w:sz w:val="32"/>
          <w:szCs w:val="32"/>
          <w:highlight w:val="none"/>
        </w:rPr>
      </w:pPr>
      <w:r>
        <w:rPr>
          <w:rFonts w:hint="eastAsia" w:ascii="黑体" w:hAnsi="黑体" w:eastAsia="黑体" w:cs="宋体"/>
          <w:color w:val="000000"/>
          <w:sz w:val="32"/>
          <w:szCs w:val="32"/>
          <w:highlight w:val="none"/>
        </w:rPr>
        <w:t>第四十四条</w:t>
      </w:r>
      <w:r>
        <w:rPr>
          <w:rFonts w:hint="eastAsia" w:ascii="仿宋_GB2312" w:hAnsi="黑体" w:eastAsia="仿宋_GB2312" w:cs="宋体"/>
          <w:color w:val="000000"/>
          <w:sz w:val="32"/>
          <w:szCs w:val="32"/>
          <w:highlight w:val="none"/>
        </w:rPr>
        <w:t>（名词解释）</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本办法下列用语的含义：</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（一）碳排放，是指二氧化碳等温室气体的直接排放和间接排放。</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直接排放，是指煤炭、天然气、石油等化石能源燃烧活动和工业生产过程等产生的温室气体排放。</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间接排放，是指因使用外购的电力和热力等所导致的温室气体排放。</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（二）碳排放配额是指企业等在生产经营过程中排放二氧化碳等温室气体的额度，</w:t>
      </w:r>
      <w:r>
        <w:rPr>
          <w:rFonts w:ascii="仿宋_GB2312" w:hAnsi="黑体" w:eastAsia="仿宋_GB2312" w:cs="宋体"/>
          <w:color w:val="000000"/>
          <w:sz w:val="32"/>
          <w:szCs w:val="32"/>
          <w:highlight w:val="none"/>
        </w:rPr>
        <w:t>1</w:t>
      </w:r>
      <w:r>
        <w:rPr>
          <w:rFonts w:hint="eastAsia" w:ascii="仿宋_GB2312" w:hAnsi="黑体" w:eastAsia="仿宋_GB2312" w:cs="宋体"/>
          <w:color w:val="000000"/>
          <w:sz w:val="32"/>
          <w:szCs w:val="32"/>
          <w:highlight w:val="none"/>
        </w:rPr>
        <w:t>吨碳排放配额（简称</w:t>
      </w:r>
      <w:r>
        <w:rPr>
          <w:rFonts w:ascii="仿宋_GB2312" w:hAnsi="黑体" w:eastAsia="仿宋_GB2312" w:cs="宋体"/>
          <w:color w:val="000000"/>
          <w:sz w:val="32"/>
          <w:szCs w:val="32"/>
          <w:highlight w:val="none"/>
        </w:rPr>
        <w:t>SHEA</w:t>
      </w:r>
      <w:r>
        <w:rPr>
          <w:rFonts w:hint="eastAsia" w:ascii="仿宋_GB2312" w:hAnsi="黑体" w:eastAsia="仿宋_GB2312" w:cs="宋体"/>
          <w:color w:val="000000"/>
          <w:sz w:val="32"/>
          <w:szCs w:val="32"/>
          <w:highlight w:val="none"/>
        </w:rPr>
        <w:t>）等于</w:t>
      </w:r>
      <w:r>
        <w:rPr>
          <w:rFonts w:ascii="仿宋_GB2312" w:hAnsi="黑体" w:eastAsia="仿宋_GB2312" w:cs="宋体"/>
          <w:color w:val="000000"/>
          <w:sz w:val="32"/>
          <w:szCs w:val="32"/>
          <w:highlight w:val="none"/>
        </w:rPr>
        <w:t>1</w:t>
      </w:r>
      <w:r>
        <w:rPr>
          <w:rFonts w:hint="eastAsia" w:ascii="仿宋_GB2312" w:hAnsi="黑体" w:eastAsia="仿宋_GB2312" w:cs="宋体"/>
          <w:color w:val="000000"/>
          <w:sz w:val="32"/>
          <w:szCs w:val="32"/>
          <w:highlight w:val="none"/>
        </w:rPr>
        <w:t>吨二氧化碳当量</w:t>
      </w:r>
      <w:r>
        <w:rPr>
          <w:rFonts w:ascii="仿宋_GB2312" w:hAnsi="黑体" w:eastAsia="仿宋_GB2312" w:cs="宋体"/>
          <w:color w:val="000000"/>
          <w:sz w:val="32"/>
          <w:szCs w:val="32"/>
          <w:highlight w:val="none"/>
        </w:rPr>
        <w:t>(1tCO2)</w:t>
      </w:r>
      <w:r>
        <w:rPr>
          <w:rFonts w:hint="eastAsia" w:ascii="仿宋_GB2312" w:hAnsi="黑体" w:eastAsia="仿宋_GB2312" w:cs="宋体"/>
          <w:color w:val="000000"/>
          <w:sz w:val="32"/>
          <w:szCs w:val="32"/>
          <w:highlight w:val="none"/>
        </w:rPr>
        <w:t>。</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（三）历史排放法，是指以纳入配额管理的单位在过去一定年度的碳排放数据为主要依据，确定其未来年度碳排放配额的方法。</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基准线法，是指以纳入配额管理单位的碳排放效率基准为主要依据，确定其未来年度碳排放配额的方法。</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（四）排放设施，是指具备相对独立功能的，直接或者间接排放温室气体的生产运营系统，包括生产设备、建筑物、构筑物等。</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（五）排放边界，是指《上海市温室气体排放核算与报告指南》及相关行业方法规定的温室气体排放核算范围。</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（六）国家核证自愿减排量，是指根据国家发展改革部门《温室气体自愿减排交易管理暂行办法》的规定，经其备案并在国家登记系统登记的自愿减排项目减排量。</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本办法所称“以上”、“以下”，包括本数。</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w:t>
      </w:r>
      <w:r>
        <w:rPr>
          <w:rFonts w:hint="eastAsia" w:ascii="黑体" w:hAnsi="黑体" w:eastAsia="黑体" w:cs="宋体"/>
          <w:color w:val="000000"/>
          <w:sz w:val="32"/>
          <w:szCs w:val="32"/>
          <w:highlight w:val="none"/>
        </w:rPr>
        <w:t>第四十五条</w:t>
      </w:r>
      <w:r>
        <w:rPr>
          <w:rFonts w:hint="eastAsia" w:ascii="仿宋_GB2312" w:hAnsi="黑体" w:eastAsia="仿宋_GB2312" w:cs="宋体"/>
          <w:color w:val="000000"/>
          <w:sz w:val="32"/>
          <w:szCs w:val="32"/>
          <w:highlight w:val="none"/>
        </w:rPr>
        <w:t>（实施日期）</w:t>
      </w:r>
    </w:p>
    <w:p>
      <w:pPr>
        <w:pStyle w:val="3"/>
        <w:keepNext w:val="0"/>
        <w:keepLines w:val="0"/>
        <w:pageBreakBefore w:val="0"/>
        <w:kinsoku/>
        <w:wordWrap/>
        <w:overflowPunct/>
        <w:topLinePunct w:val="0"/>
        <w:autoSpaceDE/>
        <w:autoSpaceDN/>
        <w:bidi w:val="0"/>
        <w:adjustRightInd/>
        <w:snapToGrid/>
        <w:textAlignment w:val="auto"/>
        <w:rPr>
          <w:rFonts w:ascii="仿宋_GB2312" w:hAnsi="黑体" w:eastAsia="仿宋_GB2312" w:cs="宋体"/>
          <w:color w:val="000000"/>
          <w:sz w:val="32"/>
          <w:szCs w:val="32"/>
          <w:highlight w:val="none"/>
        </w:rPr>
      </w:pPr>
      <w:r>
        <w:rPr>
          <w:rFonts w:hint="eastAsia" w:ascii="仿宋_GB2312" w:hAnsi="黑体" w:eastAsia="仿宋_GB2312" w:cs="宋体"/>
          <w:color w:val="000000"/>
          <w:sz w:val="32"/>
          <w:szCs w:val="32"/>
          <w:highlight w:val="none"/>
        </w:rPr>
        <w:t>　　本办法自</w:t>
      </w:r>
      <w:r>
        <w:rPr>
          <w:rFonts w:ascii="仿宋_GB2312" w:hAnsi="黑体" w:eastAsia="仿宋_GB2312" w:cs="宋体"/>
          <w:color w:val="000000"/>
          <w:sz w:val="32"/>
          <w:szCs w:val="32"/>
          <w:highlight w:val="none"/>
        </w:rPr>
        <w:t>2013</w:t>
      </w:r>
      <w:r>
        <w:rPr>
          <w:rFonts w:hint="eastAsia" w:ascii="仿宋_GB2312" w:hAnsi="黑体" w:eastAsia="仿宋_GB2312" w:cs="宋体"/>
          <w:color w:val="000000"/>
          <w:sz w:val="32"/>
          <w:szCs w:val="32"/>
          <w:highlight w:val="none"/>
        </w:rPr>
        <w:t>年</w:t>
      </w:r>
      <w:r>
        <w:rPr>
          <w:rFonts w:ascii="仿宋_GB2312" w:hAnsi="黑体" w:eastAsia="仿宋_GB2312" w:cs="宋体"/>
          <w:color w:val="000000"/>
          <w:sz w:val="32"/>
          <w:szCs w:val="32"/>
          <w:highlight w:val="none"/>
        </w:rPr>
        <w:t>11</w:t>
      </w:r>
      <w:r>
        <w:rPr>
          <w:rFonts w:hint="eastAsia" w:ascii="仿宋_GB2312" w:hAnsi="黑体" w:eastAsia="仿宋_GB2312" w:cs="宋体"/>
          <w:color w:val="000000"/>
          <w:sz w:val="32"/>
          <w:szCs w:val="32"/>
          <w:highlight w:val="none"/>
        </w:rPr>
        <w:t>月</w:t>
      </w:r>
      <w:r>
        <w:rPr>
          <w:rFonts w:ascii="仿宋_GB2312" w:hAnsi="黑体" w:eastAsia="仿宋_GB2312" w:cs="宋体"/>
          <w:color w:val="000000"/>
          <w:sz w:val="32"/>
          <w:szCs w:val="32"/>
          <w:highlight w:val="none"/>
        </w:rPr>
        <w:t>20</w:t>
      </w:r>
      <w:r>
        <w:rPr>
          <w:rFonts w:hint="eastAsia" w:ascii="仿宋_GB2312" w:hAnsi="黑体" w:eastAsia="仿宋_GB2312" w:cs="宋体"/>
          <w:color w:val="000000"/>
          <w:sz w:val="32"/>
          <w:szCs w:val="32"/>
          <w:highlight w:val="none"/>
        </w:rPr>
        <w:t>日起施行。</w:t>
      </w:r>
    </w:p>
    <w:p>
      <w:pPr>
        <w:pStyle w:val="6"/>
        <w:keepNext w:val="0"/>
        <w:keepLines w:val="0"/>
        <w:pageBreakBefore w:val="0"/>
        <w:kinsoku/>
        <w:wordWrap/>
        <w:overflowPunct/>
        <w:topLinePunct w:val="0"/>
        <w:autoSpaceDE/>
        <w:autoSpaceDN/>
        <w:bidi w:val="0"/>
        <w:adjustRightInd/>
        <w:snapToGrid/>
        <w:spacing w:before="0" w:beforeAutospacing="0" w:after="0" w:afterAutospacing="0"/>
        <w:textAlignment w:val="auto"/>
        <w:rPr>
          <w:rFonts w:eastAsia="仿宋_GB2312" w:cs="???"/>
          <w:color w:val="000000"/>
          <w:sz w:val="32"/>
          <w:szCs w:val="32"/>
          <w:highlight w:val="none"/>
        </w:rPr>
      </w:pPr>
    </w:p>
    <w:p>
      <w:pPr>
        <w:keepNext w:val="0"/>
        <w:keepLines w:val="0"/>
        <w:pageBreakBefore w:val="0"/>
        <w:kinsoku/>
        <w:wordWrap/>
        <w:overflowPunct/>
        <w:topLinePunct w:val="0"/>
        <w:autoSpaceDE/>
        <w:autoSpaceDN/>
        <w:bidi w:val="0"/>
        <w:adjustRightInd/>
        <w:snapToGrid/>
        <w:textAlignment w:val="auto"/>
        <w:rPr>
          <w:rFonts w:eastAsia="仿宋_GB2312"/>
          <w:sz w:val="32"/>
          <w:szCs w:val="32"/>
        </w:rPr>
      </w:pPr>
    </w:p>
    <w:p>
      <w:pPr>
        <w:keepNext w:val="0"/>
        <w:keepLines w:val="0"/>
        <w:pageBreakBefore w:val="0"/>
        <w:kinsoku/>
        <w:wordWrap/>
        <w:overflowPunct/>
        <w:topLinePunct w:val="0"/>
        <w:autoSpaceDE/>
        <w:autoSpaceDN/>
        <w:bidi w:val="0"/>
        <w:adjustRightInd/>
        <w:snapToGrid/>
        <w:textAlignment w:val="auto"/>
        <w:rPr>
          <w:rFonts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
    <w:altName w:val="Arial"/>
    <w:panose1 w:val="00000000000000000000"/>
    <w:charset w:val="00"/>
    <w:family w:val="auto"/>
    <w:pitch w:val="default"/>
    <w:sig w:usb0="00000000" w:usb1="00000000" w:usb2="00000000" w:usb3="00000000" w:csb0="00000001" w:csb1="00000000"/>
  </w:font>
  <w:font w:name="E-B6">
    <w:altName w:val="宋体"/>
    <w:panose1 w:val="00000000000000000000"/>
    <w:charset w:val="86"/>
    <w:family w:val="auto"/>
    <w:pitch w:val="default"/>
    <w:sig w:usb0="00000000" w:usb1="00000000" w:usb2="0000001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E-BZ">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上海市人民政府发布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仿宋_GB2312"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8890"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仿宋_GB2312" w:cs="宋体"/>
        <w:b/>
        <w:bCs/>
        <w:color w:val="005192"/>
        <w:sz w:val="32"/>
        <w:szCs w:val="32"/>
      </w:rPr>
    </w:pPr>
    <w:r>
      <w:rPr>
        <w:rFonts w:hint="eastAsia" w:ascii="宋体" w:hAnsi="宋体" w:eastAsia="仿宋_GB2312" w:cs="宋体"/>
        <w:b/>
        <w:bCs/>
        <w:color w:val="005192"/>
        <w:sz w:val="32"/>
      </w:rPr>
      <w:drawing>
        <wp:inline distT="0" distB="0" distL="114300" distR="114300">
          <wp:extent cx="308610" cy="308610"/>
          <wp:effectExtent l="0" t="0" r="5715" b="5715"/>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仿宋_GB2312" w:cs="宋体"/>
        <w:b/>
        <w:bCs/>
        <w:color w:val="005192"/>
        <w:sz w:val="32"/>
        <w:szCs w:val="32"/>
      </w:rPr>
      <w:t>上海市人民政府规章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05A5C"/>
    <w:rsid w:val="00501B2B"/>
    <w:rsid w:val="022B50B9"/>
    <w:rsid w:val="07272687"/>
    <w:rsid w:val="0BB55F74"/>
    <w:rsid w:val="0CC83CDB"/>
    <w:rsid w:val="0CEF0ECE"/>
    <w:rsid w:val="0DCF4493"/>
    <w:rsid w:val="0E931F17"/>
    <w:rsid w:val="0FE766B9"/>
    <w:rsid w:val="10562B4E"/>
    <w:rsid w:val="11C42D90"/>
    <w:rsid w:val="148C3BAA"/>
    <w:rsid w:val="151C7F48"/>
    <w:rsid w:val="15FB4C34"/>
    <w:rsid w:val="169B4993"/>
    <w:rsid w:val="16BE15FA"/>
    <w:rsid w:val="1B2050F6"/>
    <w:rsid w:val="1B4A79DA"/>
    <w:rsid w:val="1D934FAD"/>
    <w:rsid w:val="1E56514E"/>
    <w:rsid w:val="21EC6CD2"/>
    <w:rsid w:val="24237E53"/>
    <w:rsid w:val="273F6839"/>
    <w:rsid w:val="2E4B3FCD"/>
    <w:rsid w:val="31146CC2"/>
    <w:rsid w:val="33043011"/>
    <w:rsid w:val="35155921"/>
    <w:rsid w:val="36E23147"/>
    <w:rsid w:val="38427D79"/>
    <w:rsid w:val="38D16C69"/>
    <w:rsid w:val="3930434F"/>
    <w:rsid w:val="39FF2A65"/>
    <w:rsid w:val="3C3F07DD"/>
    <w:rsid w:val="4041566E"/>
    <w:rsid w:val="41384DF8"/>
    <w:rsid w:val="41B65FD8"/>
    <w:rsid w:val="41FD2286"/>
    <w:rsid w:val="434C0E0E"/>
    <w:rsid w:val="444D2BB9"/>
    <w:rsid w:val="459F42D2"/>
    <w:rsid w:val="4E3C7E6F"/>
    <w:rsid w:val="4F9C7454"/>
    <w:rsid w:val="4FC27D22"/>
    <w:rsid w:val="50426933"/>
    <w:rsid w:val="50460E72"/>
    <w:rsid w:val="51394A0A"/>
    <w:rsid w:val="52022655"/>
    <w:rsid w:val="53F9408C"/>
    <w:rsid w:val="54F05A5C"/>
    <w:rsid w:val="56753E3F"/>
    <w:rsid w:val="583530AE"/>
    <w:rsid w:val="58B8480D"/>
    <w:rsid w:val="592125C9"/>
    <w:rsid w:val="62CB283C"/>
    <w:rsid w:val="6318548C"/>
    <w:rsid w:val="642161BD"/>
    <w:rsid w:val="64990446"/>
    <w:rsid w:val="64AB50DC"/>
    <w:rsid w:val="655938FF"/>
    <w:rsid w:val="65EF24F0"/>
    <w:rsid w:val="68F83993"/>
    <w:rsid w:val="6B7D5FD3"/>
    <w:rsid w:val="6C380166"/>
    <w:rsid w:val="6F173E90"/>
    <w:rsid w:val="6FC11BAB"/>
    <w:rsid w:val="6FF02D10"/>
    <w:rsid w:val="72CC0604"/>
    <w:rsid w:val="76044CAD"/>
    <w:rsid w:val="7B6D185C"/>
    <w:rsid w:val="7DBA3FA6"/>
    <w:rsid w:val="7DD1780B"/>
    <w:rsid w:val="7DE4107B"/>
    <w:rsid w:val="7E4B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3"/>
    <w:semiHidden/>
    <w:unhideWhenUsed/>
    <w:qFormat/>
    <w:uiPriority w:val="0"/>
    <w:pPr>
      <w:keepNext w:val="0"/>
      <w:keepLines w:val="0"/>
      <w:widowControl w:val="0"/>
      <w:suppressLineNumbers w:val="0"/>
      <w:adjustRightInd w:val="0"/>
      <w:snapToGrid w:val="0"/>
      <w:spacing w:before="0" w:beforeAutospacing="0" w:after="0" w:afterAutospacing="0"/>
      <w:ind w:left="0" w:right="0"/>
      <w:jc w:val="center"/>
      <w:outlineLvl w:val="3"/>
    </w:pPr>
    <w:rPr>
      <w:rFonts w:hint="eastAsia" w:ascii="黑体" w:hAnsi="宋体" w:eastAsia="宋体" w:cs="仿宋_GB2312"/>
      <w:b/>
      <w:color w:val="000000"/>
      <w:kern w:val="2"/>
      <w:sz w:val="24"/>
      <w:szCs w:val="22"/>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character" w:customStyle="1" w:styleId="11">
    <w:name w:val="样式1 Char"/>
    <w:link w:val="12"/>
    <w:qFormat/>
    <w:locked/>
    <w:uiPriority w:val="0"/>
    <w:rPr>
      <w:rFonts w:ascii="黑体" w:hAnsi="黑体" w:eastAsia="黑体" w:cs="Times New Roman"/>
      <w:color w:val="auto"/>
      <w:kern w:val="2"/>
      <w:sz w:val="21"/>
      <w:szCs w:val="22"/>
    </w:rPr>
  </w:style>
  <w:style w:type="paragraph" w:customStyle="1" w:styleId="12">
    <w:name w:val="样式1"/>
    <w:basedOn w:val="6"/>
    <w:next w:val="1"/>
    <w:link w:val="11"/>
    <w:qFormat/>
    <w:uiPriority w:val="0"/>
    <w:rPr>
      <w:rFonts w:ascii="黑体" w:hAnsi="黑体" w:eastAsia="黑体" w:cs="Times New Roman"/>
      <w:color w:val="auto"/>
      <w:kern w:val="2"/>
      <w:sz w:val="21"/>
      <w:szCs w:val="22"/>
    </w:rPr>
  </w:style>
  <w:style w:type="character" w:customStyle="1" w:styleId="13">
    <w:name w:val="标题 4 Char"/>
    <w:basedOn w:val="8"/>
    <w:link w:val="2"/>
    <w:qFormat/>
    <w:uiPriority w:val="0"/>
    <w:rPr>
      <w:rFonts w:hint="eastAsia" w:ascii="黑体" w:hAnsi="宋体" w:eastAsia="宋体" w:cs="仿宋_GB2312"/>
      <w:b/>
      <w:color w:val="000000"/>
      <w:kern w:val="2"/>
      <w:sz w:val="24"/>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3454</Words>
  <Characters>3469</Characters>
  <Lines>0</Lines>
  <Paragraphs>0</Paragraphs>
  <TotalTime>2</TotalTime>
  <ScaleCrop>false</ScaleCrop>
  <LinksUpToDate>false</LinksUpToDate>
  <CharactersWithSpaces>3473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2021-12-29T06:14:00Z</dcterms:created>
  <dc:creator>choiaa</dc:creator>
  <cp:lastModifiedBy>choiaa</cp:lastModifiedBy>
  <dcterms:modified xsi:type="dcterms:W3CDTF">2021-12-30T03:45:28Z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4A36497377FB48569BBAF65E55540167</vt:lpwstr>
  </property>
</Properties>
</file>