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附件1：评估委托书（示范文本）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hAnsi="黑体" w:eastAsia="仿宋_GB2312"/>
          <w:b/>
          <w:bCs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评估委托书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（评估机构名称）  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土地使用权收回补偿决策   </w:t>
      </w:r>
      <w:r>
        <w:rPr>
          <w:rFonts w:hint="eastAsia" w:ascii="仿宋_GB2312" w:eastAsia="仿宋_GB2312"/>
          <w:sz w:val="32"/>
          <w:szCs w:val="32"/>
        </w:rPr>
        <w:t>需要，特委托你公司按照《关于规范产业用地综合价值评估工作的指导意见（试行）》文件要求，组织责任评估师，对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（含地块坐落或名称、土地使用权人名称）  </w:t>
      </w:r>
      <w:r>
        <w:rPr>
          <w:rFonts w:hint="eastAsia" w:ascii="仿宋_GB2312" w:eastAsia="仿宋_GB2312"/>
          <w:sz w:val="32"/>
          <w:szCs w:val="32"/>
        </w:rPr>
        <w:t>进行产业用地综合价值评估，估价期日（价值时点）为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日，经我方组织调查和认定，相关情况如下：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（一）土地用途为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、土地使用年限期至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日、土地面积为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平方米、房屋建筑面积为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平方米。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（二）该产业用地的综合绩效评估结果为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类。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（三）该产业用地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（填：有或无）</w:t>
      </w:r>
      <w:r>
        <w:rPr>
          <w:rFonts w:hint="eastAsia" w:ascii="仿宋_GB2312" w:eastAsia="仿宋_GB2312"/>
          <w:sz w:val="32"/>
          <w:szCs w:val="32"/>
        </w:rPr>
        <w:t>违反生态环境、安全等情况。（如填有，需再提供相关资料）。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资料附件清单（根据情况增减）：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1、不动产登记权证或房地产权证或国有土地使用证、房屋所有权证等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2、国有土地有偿使用合同或划拨决定书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3、产业用地综合绩效评估结果报告或评估结论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4、生态环境、生产安全等情况调查结果资料，生态修复或排除安全风险方案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5、建设用地规划许可证、建设工程规划许可证、建设工程施工许可证，竣工验收证明、面积测绘报告等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6、产业用地综合绩效评估结果为</w:t>
      </w:r>
      <w:r>
        <w:rPr>
          <w:rFonts w:ascii="仿宋_GB2312" w:eastAsia="仿宋_GB2312"/>
          <w:sz w:val="32"/>
          <w:szCs w:val="32"/>
        </w:rPr>
        <w:t>A类和B类的，集体决策土地使用权价格上浮比例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、擅自改变土地和房屋用途、涉及违法用地或违法建筑的认定结果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、建筑物的设计或施工图纸、工程预算或决算、房屋室内装饰装修与设施设备的说明等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、机器设备和生产物资清单、相对应的企业会计报表的明细账目登记、购销合同或发票等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10、企业前三年财务报表—利润表、企业所得税纳税凭证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</w:t>
      </w:r>
      <w:r>
        <w:rPr>
          <w:rFonts w:hint="eastAsia" w:ascii="仿宋_GB2312" w:eastAsia="仿宋_GB2312"/>
          <w:sz w:val="32"/>
          <w:szCs w:val="32"/>
        </w:rPr>
        <w:t>、其他资料（如有，请列明）</w:t>
      </w: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委托单位：</w:t>
      </w:r>
    </w:p>
    <w:p>
      <w:pPr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年   月  日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附件2：评估报告的推荐格式与内容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【一】封面</w:t>
      </w:r>
    </w:p>
    <w:p>
      <w:pPr>
        <w:jc w:val="center"/>
        <w:rPr>
          <w:rFonts w:ascii="仿宋_GB2312" w:eastAsia="仿宋_GB2312"/>
          <w:sz w:val="32"/>
          <w:szCs w:val="32"/>
          <w:highlight w:val="yellow"/>
        </w:rPr>
      </w:pPr>
      <w:r>
        <w:rPr>
          <w:rFonts w:hint="eastAsia" w:ascii="仿宋_GB2312" w:eastAsia="仿宋_GB2312"/>
          <w:sz w:val="32"/>
          <w:szCs w:val="32"/>
        </w:rPr>
        <w:t>产业用地综合价值评估报告</w:t>
      </w:r>
    </w:p>
    <w:p>
      <w:pPr>
        <w:jc w:val="left"/>
        <w:rPr>
          <w:rFonts w:ascii="仿宋_GB2312" w:eastAsia="仿宋_GB2312"/>
          <w:sz w:val="32"/>
          <w:szCs w:val="32"/>
        </w:rPr>
      </w:pPr>
      <w:bookmarkStart w:id="0" w:name="_Hlk161661008"/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项目名称：</w:t>
      </w:r>
    </w:p>
    <w:bookmarkEnd w:id="0"/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受托估价单位：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评估报告编号：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电子备案编号：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提交报告日期：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【二】正文</w:t>
      </w:r>
    </w:p>
    <w:p>
      <w:pPr>
        <w:jc w:val="center"/>
        <w:rPr>
          <w:rFonts w:ascii="仿宋_GB2312" w:eastAsia="仿宋_GB2312"/>
          <w:sz w:val="32"/>
          <w:szCs w:val="32"/>
          <w:highlight w:val="yellow"/>
        </w:rPr>
      </w:pPr>
      <w:r>
        <w:rPr>
          <w:rFonts w:hint="eastAsia" w:ascii="仿宋_GB2312" w:eastAsia="仿宋_GB2312"/>
          <w:sz w:val="32"/>
          <w:szCs w:val="32"/>
        </w:rPr>
        <w:t>产业用地综合价值评估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第一部分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摘要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一、项目名称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二、评估委托方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三、评估目的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四、估价期日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五、估价日期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六、地价定义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七、其他评估价格定义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八、评估结果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产业用地综合价值评估结果：总价（附大写金额）、折算到单位土地面积单价（万元/亩），并附产业用地综合价值评估结果一览表（含土地、建筑物、装饰装修、机器设备、生产物资、停产停业损失以及减值修正的各项评估结果）。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产业用地综合价值评估结果一览表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667"/>
        <w:gridCol w:w="913"/>
        <w:gridCol w:w="1027"/>
        <w:gridCol w:w="1179"/>
        <w:gridCol w:w="1331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序号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评估分项名称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土地面积(m</w:t>
            </w:r>
            <w:r>
              <w:rPr>
                <w:rFonts w:ascii="仿宋_GB2312" w:eastAsia="仿宋_GB2312" w:hAnsiTheme="minorHAnsi" w:cstheme="minorBidi"/>
                <w:sz w:val="24"/>
                <w:vertAlign w:val="superscript"/>
              </w:rPr>
              <w:t>2</w:t>
            </w:r>
            <w:r>
              <w:rPr>
                <w:rFonts w:hint="eastAsia" w:ascii="仿宋_GB2312" w:eastAsia="仿宋_GB2312" w:hAnsiTheme="minorHAnsi" w:cstheme="minorBidi"/>
                <w:sz w:val="24"/>
              </w:rPr>
              <w:t>)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建筑面积(m</w:t>
            </w:r>
            <w:r>
              <w:rPr>
                <w:rFonts w:ascii="仿宋_GB2312" w:eastAsia="仿宋_GB2312" w:hAnsiTheme="minorHAnsi" w:cstheme="minorBidi"/>
                <w:sz w:val="24"/>
                <w:vertAlign w:val="superscript"/>
              </w:rPr>
              <w:t>2</w:t>
            </w:r>
            <w:r>
              <w:rPr>
                <w:rFonts w:hint="eastAsia" w:ascii="仿宋_GB2312" w:eastAsia="仿宋_GB2312" w:hAnsiTheme="minorHAnsi" w:cstheme="minorBidi"/>
                <w:sz w:val="24"/>
              </w:rPr>
              <w:t>)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折合土地面积单价(元/</w:t>
            </w:r>
            <w:r>
              <w:rPr>
                <w:rFonts w:ascii="仿宋_GB2312" w:eastAsia="仿宋_GB2312" w:hAnsiTheme="minorHAnsi" w:cstheme="minorBidi"/>
                <w:sz w:val="24"/>
              </w:rPr>
              <w:t>m</w:t>
            </w:r>
            <w:r>
              <w:rPr>
                <w:rFonts w:ascii="仿宋_GB2312" w:eastAsia="仿宋_GB2312" w:hAnsiTheme="minorHAnsi" w:cstheme="minorBidi"/>
                <w:sz w:val="24"/>
                <w:vertAlign w:val="superscript"/>
              </w:rPr>
              <w:t>2</w:t>
            </w:r>
            <w:r>
              <w:rPr>
                <w:rFonts w:hint="eastAsia" w:ascii="仿宋_GB2312" w:eastAsia="仿宋_GB2312" w:hAnsiTheme="minorHAnsi" w:cstheme="minorBidi"/>
                <w:sz w:val="24"/>
              </w:rPr>
              <w:t>)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折合建筑面积单价(元/</w:t>
            </w:r>
            <w:r>
              <w:rPr>
                <w:rFonts w:ascii="仿宋_GB2312" w:eastAsia="仿宋_GB2312" w:hAnsiTheme="minorHAnsi" w:cstheme="minorBidi"/>
                <w:sz w:val="24"/>
              </w:rPr>
              <w:t>m</w:t>
            </w:r>
            <w:r>
              <w:rPr>
                <w:rFonts w:ascii="仿宋_GB2312" w:eastAsia="仿宋_GB2312" w:hAnsiTheme="minorHAnsi" w:cstheme="minorBidi"/>
                <w:sz w:val="24"/>
                <w:vertAlign w:val="superscript"/>
              </w:rPr>
              <w:t>2</w:t>
            </w:r>
            <w:r>
              <w:rPr>
                <w:rFonts w:hint="eastAsia" w:ascii="仿宋_GB2312" w:eastAsia="仿宋_GB2312" w:hAnsiTheme="minorHAnsi" w:cstheme="minorBidi"/>
                <w:sz w:val="24"/>
              </w:rPr>
              <w:t>)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总价(元</w:t>
            </w:r>
            <w:r>
              <w:rPr>
                <w:rFonts w:ascii="仿宋_GB2312" w:eastAsia="仿宋_GB2312" w:hAnsiTheme="minorHAnsi" w:cstheme="minorBidi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ascii="仿宋_GB2312" w:eastAsia="仿宋_GB2312" w:hAnsiTheme="minorHAnsi" w:cstheme="minorBidi"/>
                <w:sz w:val="24"/>
              </w:rPr>
              <w:t>1-</w:t>
            </w:r>
            <w:r>
              <w:rPr>
                <w:rFonts w:hint="eastAsia" w:ascii="仿宋_GB2312" w:eastAsia="仿宋_GB2312" w:hAnsiTheme="minorHAnsi" w:cstheme="minorBidi"/>
                <w:sz w:val="24"/>
              </w:rPr>
              <w:t>1</w:t>
            </w:r>
          </w:p>
        </w:tc>
        <w:tc>
          <w:tcPr>
            <w:tcW w:w="1667" w:type="dxa"/>
            <w:vAlign w:val="center"/>
          </w:tcPr>
          <w:p>
            <w:pPr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土地使用权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ascii="Segoe UI Symbol" w:hAnsi="Segoe UI Symbol" w:eastAsia="仿宋_GB2312" w:cstheme="minorBidi"/>
                <w:sz w:val="24"/>
              </w:rPr>
              <w:t>√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√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√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√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ascii="仿宋_GB2312" w:eastAsia="仿宋_GB2312" w:hAnsiTheme="minorHAnsi" w:cstheme="minorBidi"/>
                <w:sz w:val="24"/>
              </w:rPr>
              <w:t>2-1</w:t>
            </w:r>
          </w:p>
        </w:tc>
        <w:tc>
          <w:tcPr>
            <w:tcW w:w="1667" w:type="dxa"/>
            <w:vAlign w:val="center"/>
          </w:tcPr>
          <w:p>
            <w:pPr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房屋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-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√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√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√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ascii="仿宋_GB2312" w:eastAsia="仿宋_GB2312" w:hAnsiTheme="minorHAnsi" w:cstheme="minorBidi"/>
                <w:sz w:val="24"/>
              </w:rPr>
              <w:t>2-2</w:t>
            </w:r>
          </w:p>
        </w:tc>
        <w:tc>
          <w:tcPr>
            <w:tcW w:w="1667" w:type="dxa"/>
            <w:vAlign w:val="center"/>
          </w:tcPr>
          <w:p>
            <w:pPr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装饰装修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-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-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√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√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ascii="仿宋_GB2312" w:eastAsia="仿宋_GB2312" w:hAnsiTheme="minorHAnsi" w:cstheme="minorBidi"/>
                <w:sz w:val="24"/>
              </w:rPr>
              <w:t>2-3</w:t>
            </w:r>
          </w:p>
        </w:tc>
        <w:tc>
          <w:tcPr>
            <w:tcW w:w="1667" w:type="dxa"/>
            <w:vAlign w:val="center"/>
          </w:tcPr>
          <w:p>
            <w:pPr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构筑物、附属物、附着物等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-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-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√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√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ascii="仿宋_GB2312" w:eastAsia="仿宋_GB2312" w:hAnsiTheme="minorHAnsi" w:cstheme="minorBidi"/>
                <w:sz w:val="24"/>
              </w:rPr>
              <w:t>3-1</w:t>
            </w:r>
          </w:p>
        </w:tc>
        <w:tc>
          <w:tcPr>
            <w:tcW w:w="1667" w:type="dxa"/>
            <w:vAlign w:val="center"/>
          </w:tcPr>
          <w:p>
            <w:pPr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机器设备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-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-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√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√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ascii="仿宋_GB2312" w:eastAsia="仿宋_GB2312" w:hAnsiTheme="minorHAnsi" w:cstheme="minorBidi"/>
                <w:sz w:val="24"/>
              </w:rPr>
              <w:t>3-2</w:t>
            </w:r>
          </w:p>
        </w:tc>
        <w:tc>
          <w:tcPr>
            <w:tcW w:w="1667" w:type="dxa"/>
            <w:vAlign w:val="center"/>
          </w:tcPr>
          <w:p>
            <w:pPr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生产物资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-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-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√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√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ascii="仿宋_GB2312" w:eastAsia="仿宋_GB2312" w:hAnsiTheme="minorHAnsi" w:cstheme="minorBidi"/>
                <w:sz w:val="24"/>
              </w:rPr>
              <w:t>4-1</w:t>
            </w:r>
          </w:p>
        </w:tc>
        <w:tc>
          <w:tcPr>
            <w:tcW w:w="1667" w:type="dxa"/>
            <w:vAlign w:val="center"/>
          </w:tcPr>
          <w:p>
            <w:pPr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停产停业损失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-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-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√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√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ascii="仿宋_GB2312" w:eastAsia="仿宋_GB2312" w:hAnsiTheme="minorHAnsi" w:cstheme="minorBidi"/>
                <w:sz w:val="24"/>
              </w:rPr>
              <w:t>一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小计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√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√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√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√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ascii="仿宋_GB2312" w:eastAsia="仿宋_GB2312" w:hAnsiTheme="minorHAnsi" w:cstheme="minorBidi"/>
                <w:sz w:val="24"/>
              </w:rPr>
              <w:t>二</w:t>
            </w:r>
          </w:p>
        </w:tc>
        <w:tc>
          <w:tcPr>
            <w:tcW w:w="1667" w:type="dxa"/>
            <w:vAlign w:val="center"/>
          </w:tcPr>
          <w:p>
            <w:pPr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损值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-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-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√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-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96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ascii="仿宋_GB2312" w:eastAsia="仿宋_GB2312" w:hAnsiTheme="minorHAnsi" w:cstheme="minorBidi"/>
                <w:sz w:val="24"/>
              </w:rPr>
              <w:t>三</w:t>
            </w:r>
          </w:p>
        </w:tc>
        <w:tc>
          <w:tcPr>
            <w:tcW w:w="1667" w:type="dxa"/>
            <w:vAlign w:val="center"/>
          </w:tcPr>
          <w:p>
            <w:pPr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综合价值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√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√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√</w:t>
            </w:r>
          </w:p>
          <w:p>
            <w:pPr>
              <w:jc w:val="center"/>
              <w:rPr>
                <w:rFonts w:ascii="仿宋_GB2312" w:eastAsia="仿宋_GB2312" w:hAnsiTheme="minorHAnsi" w:cstheme="minorBidi"/>
                <w:szCs w:val="21"/>
              </w:rPr>
            </w:pPr>
            <w:r>
              <w:rPr>
                <w:rFonts w:hint="eastAsia" w:ascii="仿宋_GB2312" w:eastAsia="仿宋_GB2312" w:hAnsiTheme="minorHAnsi" w:cstheme="minorBidi"/>
                <w:szCs w:val="21"/>
              </w:rPr>
              <w:t>（折合</w:t>
            </w:r>
            <w:r>
              <w:rPr>
                <w:rFonts w:hint="eastAsia" w:ascii="仿宋_GB2312" w:eastAsia="仿宋_GB2312" w:hAnsiTheme="minorHAnsi" w:cstheme="minorBidi"/>
                <w:sz w:val="24"/>
              </w:rPr>
              <w:t>√</w:t>
            </w:r>
            <w:r>
              <w:rPr>
                <w:rFonts w:hint="eastAsia" w:ascii="仿宋_GB2312" w:eastAsia="仿宋_GB2312" w:hAnsiTheme="minorHAnsi" w:cstheme="minorBidi"/>
                <w:szCs w:val="21"/>
              </w:rPr>
              <w:t>万元/亩）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√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√</w:t>
            </w:r>
          </w:p>
          <w:p>
            <w:pPr>
              <w:jc w:val="center"/>
              <w:rPr>
                <w:rFonts w:ascii="仿宋_GB2312" w:eastAsia="仿宋_GB2312" w:hAnsiTheme="minorHAnsi" w:cstheme="minorBidi"/>
                <w:szCs w:val="21"/>
              </w:rPr>
            </w:pPr>
            <w:r>
              <w:rPr>
                <w:rFonts w:hint="eastAsia" w:ascii="仿宋_GB2312" w:eastAsia="仿宋_GB2312" w:hAnsiTheme="minorHAnsi" w:cstheme="minorBidi"/>
                <w:szCs w:val="21"/>
              </w:rPr>
              <w:t>[含大写]</w:t>
            </w:r>
          </w:p>
        </w:tc>
      </w:tr>
    </w:tbl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（二）土地估价结果：总地价（附大写金额）、单位面积地价，并附土地估价结果一览表（按</w:t>
      </w:r>
      <w:r>
        <w:rPr>
          <w:rFonts w:ascii="仿宋_GB2312" w:eastAsia="仿宋_GB2312"/>
          <w:sz w:val="32"/>
          <w:szCs w:val="32"/>
        </w:rPr>
        <w:t>城镇土地估价规程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spacing w:before="156" w:beforeLines="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九、责任评估师签字：</w:t>
      </w:r>
    </w:p>
    <w:p>
      <w:pPr>
        <w:spacing w:before="156" w:beforeLines="50"/>
        <w:jc w:val="left"/>
        <w:rPr>
          <w:rFonts w:ascii="仿宋_GB2312" w:eastAsia="仿宋_GB2312"/>
          <w:sz w:val="32"/>
          <w:szCs w:val="32"/>
        </w:rPr>
      </w:pPr>
    </w:p>
    <w:tbl>
      <w:tblPr>
        <w:tblStyle w:val="9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455"/>
        <w:gridCol w:w="1984"/>
        <w:gridCol w:w="1538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>
            <w:pPr>
              <w:snapToGrid w:val="0"/>
              <w:spacing w:before="156" w:beforeLines="50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角色</w:t>
            </w:r>
          </w:p>
        </w:tc>
        <w:tc>
          <w:tcPr>
            <w:tcW w:w="1455" w:type="dxa"/>
          </w:tcPr>
          <w:p>
            <w:pPr>
              <w:snapToGrid w:val="0"/>
              <w:spacing w:before="156" w:beforeLines="50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姓名</w:t>
            </w:r>
          </w:p>
        </w:tc>
        <w:tc>
          <w:tcPr>
            <w:tcW w:w="1984" w:type="dxa"/>
          </w:tcPr>
          <w:p>
            <w:pPr>
              <w:snapToGrid w:val="0"/>
              <w:spacing w:before="156" w:beforeLines="50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评估专业资格</w:t>
            </w:r>
          </w:p>
        </w:tc>
        <w:tc>
          <w:tcPr>
            <w:tcW w:w="1538" w:type="dxa"/>
          </w:tcPr>
          <w:p>
            <w:pPr>
              <w:snapToGrid w:val="0"/>
              <w:spacing w:before="156" w:beforeLines="50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证书号/注册号</w:t>
            </w:r>
          </w:p>
        </w:tc>
        <w:tc>
          <w:tcPr>
            <w:tcW w:w="2006" w:type="dxa"/>
          </w:tcPr>
          <w:p>
            <w:pPr>
              <w:snapToGrid w:val="0"/>
              <w:spacing w:before="156" w:beforeLines="50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>
            <w:pPr>
              <w:spacing w:before="156" w:beforeLines="50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领衔评估师</w:t>
            </w:r>
          </w:p>
        </w:tc>
        <w:tc>
          <w:tcPr>
            <w:tcW w:w="1455" w:type="dxa"/>
          </w:tcPr>
          <w:p>
            <w:pPr>
              <w:spacing w:before="156" w:beforeLines="50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napToGrid w:val="0"/>
              <w:spacing w:before="156" w:beforeLines="50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</w:tc>
        <w:tc>
          <w:tcPr>
            <w:tcW w:w="1538" w:type="dxa"/>
          </w:tcPr>
          <w:p>
            <w:pPr>
              <w:snapToGrid w:val="0"/>
              <w:spacing w:before="156" w:beforeLines="50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</w:tc>
        <w:tc>
          <w:tcPr>
            <w:tcW w:w="2006" w:type="dxa"/>
          </w:tcPr>
          <w:p>
            <w:pPr>
              <w:spacing w:before="156" w:beforeLines="50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>
            <w:pPr>
              <w:spacing w:before="156" w:beforeLines="50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评估师</w:t>
            </w:r>
          </w:p>
        </w:tc>
        <w:tc>
          <w:tcPr>
            <w:tcW w:w="1455" w:type="dxa"/>
          </w:tcPr>
          <w:p>
            <w:pPr>
              <w:spacing w:before="156" w:beforeLines="50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napToGrid w:val="0"/>
              <w:spacing w:before="156" w:beforeLines="50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</w:tc>
        <w:tc>
          <w:tcPr>
            <w:tcW w:w="1538" w:type="dxa"/>
          </w:tcPr>
          <w:p>
            <w:pPr>
              <w:spacing w:before="156" w:beforeLines="50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</w:tc>
        <w:tc>
          <w:tcPr>
            <w:tcW w:w="2006" w:type="dxa"/>
          </w:tcPr>
          <w:p>
            <w:pPr>
              <w:spacing w:before="156" w:beforeLines="50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9" w:type="dxa"/>
          </w:tcPr>
          <w:p>
            <w:pPr>
              <w:spacing w:before="156" w:beforeLines="50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spacing w:before="156" w:beforeLines="50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before="156" w:beforeLines="50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</w:tc>
        <w:tc>
          <w:tcPr>
            <w:tcW w:w="1538" w:type="dxa"/>
          </w:tcPr>
          <w:p>
            <w:pPr>
              <w:spacing w:before="156" w:beforeLines="50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</w:tc>
        <w:tc>
          <w:tcPr>
            <w:tcW w:w="2006" w:type="dxa"/>
          </w:tcPr>
          <w:p>
            <w:pPr>
              <w:spacing w:before="156" w:beforeLines="50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>
            <w:pPr>
              <w:spacing w:before="156" w:beforeLines="50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spacing w:before="156" w:beforeLines="50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before="156" w:beforeLines="50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</w:tc>
        <w:tc>
          <w:tcPr>
            <w:tcW w:w="1538" w:type="dxa"/>
          </w:tcPr>
          <w:p>
            <w:pPr>
              <w:spacing w:before="156" w:beforeLines="50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</w:tc>
        <w:tc>
          <w:tcPr>
            <w:tcW w:w="2006" w:type="dxa"/>
          </w:tcPr>
          <w:p>
            <w:pPr>
              <w:spacing w:before="156" w:beforeLines="50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</w:tc>
      </w:tr>
    </w:tbl>
    <w:p>
      <w:pPr>
        <w:spacing w:before="312" w:beforeLines="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十、评估机构：</w:t>
      </w:r>
    </w:p>
    <w:p>
      <w:pPr>
        <w:ind w:firstLine="2240" w:firstLineChars="700"/>
        <w:jc w:val="left"/>
        <w:rPr>
          <w:rFonts w:ascii="仿宋_GB2312" w:eastAsia="仿宋_GB2312"/>
          <w:sz w:val="32"/>
          <w:szCs w:val="32"/>
        </w:rPr>
      </w:pPr>
    </w:p>
    <w:p>
      <w:pPr>
        <w:ind w:firstLine="2240" w:firstLineChars="7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法定代表人签字（章）、机构公章</w:t>
      </w:r>
    </w:p>
    <w:p>
      <w:pPr>
        <w:ind w:firstLine="2240" w:firstLineChars="700"/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第二部分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估价对象界定与说明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一、委托估价方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二、估价对象[概要说明估价对象的具体范围，包括土地、建筑物、机器设备、生产物资等，具体说明估价对象的面积规模、权属、用途，以及构筑物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设备与</w:t>
      </w:r>
      <w:r>
        <w:rPr>
          <w:rFonts w:ascii="仿宋_GB2312" w:eastAsia="仿宋_GB2312"/>
          <w:sz w:val="32"/>
          <w:szCs w:val="32"/>
        </w:rPr>
        <w:t>物资的类别、数量</w:t>
      </w:r>
      <w:r>
        <w:rPr>
          <w:rFonts w:hint="eastAsia" w:ascii="仿宋_GB2312" w:eastAsia="仿宋_GB2312"/>
          <w:sz w:val="32"/>
          <w:szCs w:val="32"/>
        </w:rPr>
        <w:t>等基本状况</w:t>
      </w:r>
      <w:r>
        <w:rPr>
          <w:rFonts w:ascii="仿宋_GB2312" w:eastAsia="仿宋_GB2312"/>
          <w:sz w:val="32"/>
          <w:szCs w:val="32"/>
        </w:rPr>
        <w:t>]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三、估价对象描述与说明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（一）土地使用权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1.</w:t>
      </w:r>
      <w:r>
        <w:rPr>
          <w:rFonts w:hint="eastAsia" w:ascii="仿宋_GB2312" w:eastAsia="仿宋_GB2312"/>
          <w:sz w:val="32"/>
          <w:szCs w:val="32"/>
        </w:rPr>
        <w:t>土地登记状况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2.</w:t>
      </w:r>
      <w:r>
        <w:rPr>
          <w:rFonts w:hint="eastAsia" w:ascii="仿宋_GB2312" w:eastAsia="仿宋_GB2312"/>
          <w:sz w:val="32"/>
          <w:szCs w:val="32"/>
        </w:rPr>
        <w:t>土地权利状况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3.</w:t>
      </w:r>
      <w:r>
        <w:rPr>
          <w:rFonts w:hint="eastAsia" w:ascii="仿宋_GB2312" w:eastAsia="仿宋_GB2312"/>
          <w:sz w:val="32"/>
          <w:szCs w:val="32"/>
        </w:rPr>
        <w:t>土地利用状况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（二）建筑物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1.</w:t>
      </w:r>
      <w:r>
        <w:rPr>
          <w:rFonts w:hint="eastAsia" w:ascii="仿宋_GB2312" w:eastAsia="仿宋_GB2312"/>
          <w:sz w:val="32"/>
          <w:szCs w:val="32"/>
        </w:rPr>
        <w:t>房屋[各幢房屋建筑面积、建筑结构、建筑功能、建筑细部说明、设备和安装状况、建筑高度、层数、建造年代、耐用年限、已使用年限、成新保养情况，有无缺陷和安全隐患等</w:t>
      </w:r>
      <w:r>
        <w:rPr>
          <w:rFonts w:ascii="仿宋_GB2312" w:eastAsia="仿宋_GB2312"/>
          <w:sz w:val="32"/>
          <w:szCs w:val="32"/>
        </w:rPr>
        <w:t>]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2.</w:t>
      </w:r>
      <w:r>
        <w:rPr>
          <w:rFonts w:hint="eastAsia" w:ascii="仿宋_GB2312" w:eastAsia="仿宋_GB2312"/>
          <w:sz w:val="32"/>
          <w:szCs w:val="32"/>
        </w:rPr>
        <w:t>房屋装饰装修[各幢房屋的主要装饰装修项目、细部特征、装修年代、耐用年限、已使用年限、成新保养情况等</w:t>
      </w:r>
      <w:r>
        <w:rPr>
          <w:rFonts w:ascii="仿宋_GB2312" w:eastAsia="仿宋_GB2312"/>
          <w:sz w:val="32"/>
          <w:szCs w:val="32"/>
        </w:rPr>
        <w:t>]</w:t>
      </w:r>
    </w:p>
    <w:p>
      <w:pPr>
        <w:ind w:firstLine="320" w:firstLineChars="1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构筑物和附属物、附着物[各项目的名称、特征、建造年代、耐用年限、已使用年限、成新保养情况等</w:t>
      </w:r>
      <w:r>
        <w:rPr>
          <w:rFonts w:ascii="仿宋_GB2312" w:eastAsia="仿宋_GB2312"/>
          <w:sz w:val="32"/>
          <w:szCs w:val="32"/>
        </w:rPr>
        <w:t>]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（三）机器设备和物资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1.</w:t>
      </w:r>
      <w:r>
        <w:rPr>
          <w:rFonts w:hint="eastAsia" w:ascii="仿宋_GB2312" w:eastAsia="仿宋_GB2312"/>
          <w:sz w:val="32"/>
          <w:szCs w:val="32"/>
        </w:rPr>
        <w:t>机器设备[各设备的名称、放置地点、购置日期、账面原值、型号特征、经济寿命、已使用年限、维护保养情况等</w:t>
      </w:r>
      <w:r>
        <w:rPr>
          <w:rFonts w:ascii="仿宋_GB2312" w:eastAsia="仿宋_GB2312"/>
          <w:sz w:val="32"/>
          <w:szCs w:val="32"/>
        </w:rPr>
        <w:t>]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2.</w:t>
      </w:r>
      <w:r>
        <w:rPr>
          <w:rFonts w:hint="eastAsia" w:ascii="仿宋_GB2312" w:eastAsia="仿宋_GB2312"/>
          <w:sz w:val="32"/>
          <w:szCs w:val="32"/>
        </w:rPr>
        <w:t>物资[各项物资的名称、放置地点、数量、特征等</w:t>
      </w:r>
      <w:r>
        <w:rPr>
          <w:rFonts w:ascii="仿宋_GB2312" w:eastAsia="仿宋_GB2312"/>
          <w:sz w:val="32"/>
          <w:szCs w:val="32"/>
        </w:rPr>
        <w:t>]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（四）生态环境污染等相关情况[如有，根据相关认定情况进行描述</w:t>
      </w:r>
      <w:r>
        <w:rPr>
          <w:rFonts w:ascii="仿宋_GB2312" w:eastAsia="仿宋_GB2312"/>
          <w:sz w:val="32"/>
          <w:szCs w:val="32"/>
        </w:rPr>
        <w:t>]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（五）其他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1.</w:t>
      </w:r>
      <w:r>
        <w:rPr>
          <w:rFonts w:hint="eastAsia" w:ascii="仿宋_GB2312" w:eastAsia="仿宋_GB2312"/>
          <w:sz w:val="32"/>
          <w:szCs w:val="32"/>
        </w:rPr>
        <w:t>产业用地综合绩效评级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2.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土地利用的生态环境保护、安全生产情况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四、价格影响因素说明与分析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（一）土地价格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1.</w:t>
      </w:r>
      <w:r>
        <w:rPr>
          <w:rFonts w:hint="eastAsia" w:ascii="仿宋_GB2312" w:eastAsia="仿宋_GB2312"/>
          <w:sz w:val="32"/>
          <w:szCs w:val="32"/>
        </w:rPr>
        <w:t>一般因素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2.</w:t>
      </w:r>
      <w:r>
        <w:rPr>
          <w:rFonts w:hint="eastAsia" w:ascii="仿宋_GB2312" w:eastAsia="仿宋_GB2312"/>
          <w:sz w:val="32"/>
          <w:szCs w:val="32"/>
        </w:rPr>
        <w:t>区域因素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3.</w:t>
      </w:r>
      <w:r>
        <w:rPr>
          <w:rFonts w:hint="eastAsia" w:ascii="仿宋_GB2312" w:eastAsia="仿宋_GB2312"/>
          <w:sz w:val="32"/>
          <w:szCs w:val="32"/>
        </w:rPr>
        <w:t>个别因素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（二）建筑物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1</w:t>
      </w:r>
      <w:r>
        <w:rPr>
          <w:rFonts w:hint="eastAsia" w:ascii="仿宋_GB2312" w:eastAsia="仿宋_GB2312"/>
          <w:sz w:val="32"/>
          <w:szCs w:val="32"/>
        </w:rPr>
        <w:t>.工、料、机的市场变动情况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2</w:t>
      </w:r>
      <w:r>
        <w:rPr>
          <w:rFonts w:hint="eastAsia" w:ascii="仿宋_GB2312" w:eastAsia="仿宋_GB2312"/>
          <w:sz w:val="32"/>
          <w:szCs w:val="32"/>
        </w:rPr>
        <w:t>.实物状况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（三）机器设备和生产物资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1</w:t>
      </w:r>
      <w:r>
        <w:rPr>
          <w:rFonts w:hint="eastAsia" w:ascii="仿宋_GB2312" w:eastAsia="仿宋_GB2312"/>
          <w:sz w:val="32"/>
          <w:szCs w:val="32"/>
        </w:rPr>
        <w:t>.相关机器设备的市场变动情况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2.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机器设备和生产物资的实物状况</w:t>
      </w:r>
    </w:p>
    <w:p>
      <w:pPr>
        <w:ind w:firstLine="320" w:firstLineChars="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3、机器设备的</w:t>
      </w:r>
      <w:r>
        <w:rPr>
          <w:rFonts w:ascii="仿宋_GB2312" w:eastAsia="仿宋_GB2312"/>
          <w:sz w:val="32"/>
          <w:szCs w:val="32"/>
        </w:rPr>
        <w:t>可否搬迁情况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（四）其他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1.</w:t>
      </w:r>
      <w:r>
        <w:t xml:space="preserve"> </w:t>
      </w:r>
      <w:r>
        <w:rPr>
          <w:rFonts w:ascii="仿宋_GB2312" w:eastAsia="仿宋_GB2312"/>
          <w:sz w:val="32"/>
          <w:szCs w:val="32"/>
        </w:rPr>
        <w:t>产业用地综合绩效评级</w:t>
      </w:r>
      <w:r>
        <w:rPr>
          <w:rFonts w:hint="eastAsia" w:ascii="仿宋_GB2312" w:eastAsia="仿宋_GB2312"/>
          <w:sz w:val="32"/>
          <w:szCs w:val="32"/>
        </w:rPr>
        <w:t>情况</w:t>
      </w:r>
      <w:r>
        <w:rPr>
          <w:rFonts w:ascii="仿宋_GB2312" w:eastAsia="仿宋_GB2312"/>
          <w:sz w:val="32"/>
          <w:szCs w:val="32"/>
        </w:rPr>
        <w:t>及</w:t>
      </w:r>
      <w:r>
        <w:rPr>
          <w:rFonts w:hint="eastAsia" w:ascii="仿宋_GB2312" w:eastAsia="仿宋_GB2312"/>
          <w:sz w:val="32"/>
          <w:szCs w:val="32"/>
        </w:rPr>
        <w:t>影响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2.生态环境保护、安全生产</w:t>
      </w:r>
      <w:r>
        <w:rPr>
          <w:rFonts w:hint="eastAsia" w:ascii="仿宋_GB2312" w:eastAsia="仿宋_GB2312"/>
          <w:sz w:val="32"/>
          <w:szCs w:val="32"/>
        </w:rPr>
        <w:t>情况</w:t>
      </w:r>
      <w:r>
        <w:rPr>
          <w:rFonts w:ascii="仿宋_GB2312" w:eastAsia="仿宋_GB2312"/>
          <w:sz w:val="32"/>
          <w:szCs w:val="32"/>
        </w:rPr>
        <w:t>及</w:t>
      </w:r>
      <w:r>
        <w:rPr>
          <w:rFonts w:hint="eastAsia" w:ascii="仿宋_GB2312" w:eastAsia="仿宋_GB2312"/>
          <w:sz w:val="32"/>
          <w:szCs w:val="32"/>
        </w:rPr>
        <w:t>影响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第三部分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估价结果及其使用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一、估价依据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二、估价原则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三、估价方法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（一）土地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（二）建筑物、装饰装修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（三）机器设备和生产物资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（四）其他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四、估价结果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（一）土地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（二）其他项目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1.</w:t>
      </w:r>
      <w:r>
        <w:rPr>
          <w:rFonts w:hint="eastAsia" w:ascii="仿宋_GB2312" w:eastAsia="仿宋_GB2312"/>
          <w:sz w:val="32"/>
          <w:szCs w:val="32"/>
        </w:rPr>
        <w:t>房屋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2.</w:t>
      </w:r>
      <w:r>
        <w:rPr>
          <w:rFonts w:hint="eastAsia" w:ascii="仿宋_GB2312" w:eastAsia="仿宋_GB2312"/>
          <w:sz w:val="32"/>
          <w:szCs w:val="32"/>
        </w:rPr>
        <w:t>装饰装修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3.</w:t>
      </w:r>
      <w:r>
        <w:rPr>
          <w:rFonts w:hint="eastAsia" w:ascii="仿宋_GB2312" w:eastAsia="仿宋_GB2312"/>
          <w:sz w:val="32"/>
          <w:szCs w:val="32"/>
        </w:rPr>
        <w:t>构筑物、附属物等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4.</w:t>
      </w:r>
      <w:r>
        <w:rPr>
          <w:rFonts w:hint="eastAsia" w:ascii="仿宋_GB2312" w:eastAsia="仿宋_GB2312"/>
          <w:sz w:val="32"/>
          <w:szCs w:val="32"/>
        </w:rPr>
        <w:t>机器设备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5.</w:t>
      </w:r>
      <w:r>
        <w:rPr>
          <w:rFonts w:hint="eastAsia" w:ascii="仿宋_GB2312" w:eastAsia="仿宋_GB2312"/>
          <w:sz w:val="32"/>
          <w:szCs w:val="32"/>
        </w:rPr>
        <w:t>生产物资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6.</w:t>
      </w:r>
      <w:r>
        <w:rPr>
          <w:rFonts w:hint="eastAsia" w:ascii="仿宋_GB2312" w:eastAsia="仿宋_GB2312"/>
          <w:sz w:val="32"/>
          <w:szCs w:val="32"/>
        </w:rPr>
        <w:t>停产停业损失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7.</w:t>
      </w:r>
      <w:r>
        <w:rPr>
          <w:rFonts w:hint="eastAsia" w:ascii="仿宋_GB2312" w:eastAsia="仿宋_GB2312"/>
          <w:sz w:val="32"/>
          <w:szCs w:val="32"/>
        </w:rPr>
        <w:t>损值（如有）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（三）产业用地综合价值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五、估价结果和估价报告的使用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（一）估价的前提条件和假设条件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（二）估价结果和估价报告的使用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（三）需要特殊说明的事项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第四部分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一、评估委托函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二、估价对象权属证明材料、土地利用状况、建筑物状况、机器设备和物资状况等经认定的证明材料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三、估价对象宗地区域位置图、估价对象照片、比较实例照片、现场查勘记录、估价师现场查勘照片等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四、估价机构营业执照、土地估价机构备案证明，土地估价专业人员证书、其他估价专业人员证书复印件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五、其他相关材料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另：估价技术报告按照规程规定结合上文相应撰写，估价方法和测算过程应分别陈述并计算。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" w:hAnsi="仿宋" w:eastAsia="仿宋"/>
          <w:sz w:val="28"/>
          <w:szCs w:val="28"/>
        </w:rPr>
        <w:sectPr>
          <w:footerReference r:id="rId3" w:type="default"/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left"/>
        <w:rPr>
          <w:rFonts w:hint="eastAsia" w:ascii="仿宋" w:hAnsi="仿宋" w:eastAsia="仿宋"/>
          <w:sz w:val="28"/>
          <w:szCs w:val="28"/>
        </w:rPr>
      </w:pPr>
      <w:bookmarkStart w:id="1" w:name="_GoBack"/>
      <w:bookmarkEnd w:id="1"/>
    </w:p>
    <w:p>
      <w:pPr>
        <w:widowControl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sectPr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egoe UI Symbol">
    <w:altName w:val="Noto Sans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46854483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C55"/>
    <w:rsid w:val="000623A4"/>
    <w:rsid w:val="000D426D"/>
    <w:rsid w:val="001549F7"/>
    <w:rsid w:val="001E5790"/>
    <w:rsid w:val="002345FA"/>
    <w:rsid w:val="00263250"/>
    <w:rsid w:val="002A1BE0"/>
    <w:rsid w:val="002B3330"/>
    <w:rsid w:val="00323D15"/>
    <w:rsid w:val="003A0E17"/>
    <w:rsid w:val="003A1354"/>
    <w:rsid w:val="003A4A55"/>
    <w:rsid w:val="003C0DB4"/>
    <w:rsid w:val="003C5C55"/>
    <w:rsid w:val="003D19CF"/>
    <w:rsid w:val="00470E5F"/>
    <w:rsid w:val="00492A09"/>
    <w:rsid w:val="004A15A5"/>
    <w:rsid w:val="00515C7F"/>
    <w:rsid w:val="0056682D"/>
    <w:rsid w:val="00584005"/>
    <w:rsid w:val="005F3A11"/>
    <w:rsid w:val="005F479B"/>
    <w:rsid w:val="00603C10"/>
    <w:rsid w:val="00607726"/>
    <w:rsid w:val="006253A2"/>
    <w:rsid w:val="00716DEE"/>
    <w:rsid w:val="00737284"/>
    <w:rsid w:val="00793CB1"/>
    <w:rsid w:val="007E1264"/>
    <w:rsid w:val="007E7C83"/>
    <w:rsid w:val="007F0BB0"/>
    <w:rsid w:val="00817EAE"/>
    <w:rsid w:val="0088657A"/>
    <w:rsid w:val="008B635A"/>
    <w:rsid w:val="008F098F"/>
    <w:rsid w:val="00913A4E"/>
    <w:rsid w:val="00914403"/>
    <w:rsid w:val="00923501"/>
    <w:rsid w:val="00936A5B"/>
    <w:rsid w:val="00994459"/>
    <w:rsid w:val="009B0E3E"/>
    <w:rsid w:val="009C4D72"/>
    <w:rsid w:val="009C4DB1"/>
    <w:rsid w:val="00A74ED1"/>
    <w:rsid w:val="00A94203"/>
    <w:rsid w:val="00B2028C"/>
    <w:rsid w:val="00B203E0"/>
    <w:rsid w:val="00B31CAA"/>
    <w:rsid w:val="00C16B3C"/>
    <w:rsid w:val="00C706CD"/>
    <w:rsid w:val="00C71281"/>
    <w:rsid w:val="00C7325B"/>
    <w:rsid w:val="00C8646A"/>
    <w:rsid w:val="00C95A75"/>
    <w:rsid w:val="00CB6DE9"/>
    <w:rsid w:val="00CC04D0"/>
    <w:rsid w:val="00D042C5"/>
    <w:rsid w:val="00D13DCC"/>
    <w:rsid w:val="00D5062F"/>
    <w:rsid w:val="00D50A68"/>
    <w:rsid w:val="00D80311"/>
    <w:rsid w:val="00D9056F"/>
    <w:rsid w:val="00DA0EAA"/>
    <w:rsid w:val="00DA22DE"/>
    <w:rsid w:val="00DD099E"/>
    <w:rsid w:val="00E526FB"/>
    <w:rsid w:val="00E9526C"/>
    <w:rsid w:val="00EB09A4"/>
    <w:rsid w:val="00FA5947"/>
    <w:rsid w:val="00FD1787"/>
    <w:rsid w:val="3D9ED47B"/>
    <w:rsid w:val="7FAB62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99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  <w:rPr>
      <w:rFonts w:asciiTheme="minorHAnsi" w:hAnsiTheme="minorHAnsi" w:eastAsiaTheme="minorEastAsia" w:cstheme="minorBidi"/>
      <w:szCs w:val="22"/>
    </w:rPr>
  </w:style>
  <w:style w:type="paragraph" w:styleId="3">
    <w:name w:val="Balloon Text"/>
    <w:basedOn w:val="1"/>
    <w:link w:val="13"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批注框文本 字符"/>
    <w:basedOn w:val="10"/>
    <w:link w:val="3"/>
    <w:qFormat/>
    <w:uiPriority w:val="99"/>
    <w:rPr>
      <w:kern w:val="2"/>
      <w:sz w:val="18"/>
      <w:szCs w:val="18"/>
    </w:rPr>
  </w:style>
  <w:style w:type="character" w:customStyle="1" w:styleId="14">
    <w:name w:val="页眉 字符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5">
    <w:name w:val="页脚 字符"/>
    <w:basedOn w:val="10"/>
    <w:link w:val="4"/>
    <w:qFormat/>
    <w:uiPriority w:val="99"/>
    <w:rPr>
      <w:kern w:val="2"/>
      <w:sz w:val="18"/>
      <w:szCs w:val="18"/>
    </w:rPr>
  </w:style>
  <w:style w:type="character" w:customStyle="1" w:styleId="16">
    <w:name w:val="批注文字 字符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批注主题 字符"/>
    <w:basedOn w:val="16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1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26</Pages>
  <Words>8521</Words>
  <Characters>8630</Characters>
  <Lines>7</Lines>
  <Paragraphs>18</Paragraphs>
  <TotalTime>1</TotalTime>
  <ScaleCrop>false</ScaleCrop>
  <LinksUpToDate>false</LinksUpToDate>
  <CharactersWithSpaces>9000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2024-07-29T18:27:00Z</dcterms:created>
  <dc:creator>微软用户</dc:creator>
  <cp:lastModifiedBy>徐梦</cp:lastModifiedBy>
  <cp:lastPrinted>2024-07-29T21:14:00Z</cp:lastPrinted>
  <dcterms:modified xsi:type="dcterms:W3CDTF">2024-07-29T16:50:30Z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