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03.080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A12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30"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31</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上海市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31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477</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2024</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int="eastAsia" w:hAnsi="黑体"/>
        </w:rPr>
        <w:t>代替DB31/T</w:t>
      </w:r>
      <w:r>
        <w:rPr>
          <w:rFonts w:hAnsi="黑体"/>
        </w:rPr>
        <w:t xml:space="preserve"> </w:t>
      </w:r>
      <w:r>
        <w:rPr>
          <w:rFonts w:hint="eastAsia" w:hAnsi="黑体"/>
        </w:rPr>
        <w:t>477—2018</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旅行社服务质量要求及等级划分</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Quality requirements and classification of travel services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11</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29</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03</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01</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上海市</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76772683"/>
      <w:bookmarkStart w:id="23" w:name="_Toc17663712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"_Toc179450276" </w:instrText>
      </w:r>
      <w:r>
        <w:fldChar w:fldCharType="separate"/>
      </w:r>
      <w:r>
        <w:rPr>
          <w:rStyle w:val="32"/>
          <w:rFonts w:hint="eastAsia"/>
        </w:rPr>
        <w:t>前言</w:t>
      </w:r>
      <w:r>
        <w:tab/>
      </w:r>
      <w:r>
        <w:fldChar w:fldCharType="begin"/>
      </w:r>
      <w:r>
        <w:instrText xml:space="preserve"> PAGEREF _Toc179450276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"_Toc179450277" </w:instrText>
      </w:r>
      <w:r>
        <w:fldChar w:fldCharType="separate"/>
      </w:r>
      <w:r>
        <w:rPr>
          <w:rStyle w:val="32"/>
        </w:rPr>
        <w:t xml:space="preserve">1 </w:t>
      </w:r>
      <w:r>
        <w:rPr>
          <w:rStyle w:val="32"/>
          <w:rFonts w:hint="eastAsia"/>
        </w:rPr>
        <w:t xml:space="preserve"> 范围</w:t>
      </w:r>
      <w:r>
        <w:tab/>
      </w:r>
      <w:r>
        <w:fldChar w:fldCharType="begin"/>
      </w:r>
      <w:r>
        <w:instrText xml:space="preserve"> PAGEREF _Toc179450277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"_Toc179450278"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_Toc179450278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"_Toc179450279"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_Toc179450279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"_Toc179450280" </w:instrText>
      </w:r>
      <w:r>
        <w:fldChar w:fldCharType="separate"/>
      </w:r>
      <w:r>
        <w:rPr>
          <w:rStyle w:val="32"/>
        </w:rPr>
        <w:t xml:space="preserve">4 </w:t>
      </w:r>
      <w:r>
        <w:rPr>
          <w:rStyle w:val="32"/>
          <w:rFonts w:hint="eastAsia"/>
        </w:rPr>
        <w:t xml:space="preserve"> 服务质量要求</w:t>
      </w:r>
      <w:r>
        <w:tab/>
      </w:r>
      <w:r>
        <w:fldChar w:fldCharType="begin"/>
      </w:r>
      <w:r>
        <w:instrText xml:space="preserve"> PAGEREF _Toc179450280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"_Toc179450281" </w:instrText>
      </w:r>
      <w:r>
        <w:fldChar w:fldCharType="separate"/>
      </w:r>
      <w:r>
        <w:rPr>
          <w:rStyle w:val="32"/>
          <w14:scene3d>
            <w14:lightRig w14:rig="threePt" w14:dir="t">
              <w14:rot w14:lat="0" w14:lon="0" w14:rev="0"/>
            </w14:lightRig>
          </w14:scene3d>
        </w:rPr>
        <w:t xml:space="preserve">4.1 </w:t>
      </w:r>
      <w:r>
        <w:rPr>
          <w:rStyle w:val="32"/>
          <w:rFonts w:hint="eastAsia"/>
        </w:rPr>
        <w:t xml:space="preserve"> 服务场所及设施</w:t>
      </w:r>
      <w:r>
        <w:tab/>
      </w:r>
      <w:r>
        <w:fldChar w:fldCharType="begin"/>
      </w:r>
      <w:r>
        <w:instrText xml:space="preserve"> PAGEREF _Toc179450281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"_Toc179450282" </w:instrText>
      </w:r>
      <w:r>
        <w:fldChar w:fldCharType="separate"/>
      </w:r>
      <w:r>
        <w:rPr>
          <w:rStyle w:val="32"/>
          <w14:scene3d>
            <w14:lightRig w14:rig="threePt" w14:dir="t">
              <w14:rot w14:lat="0" w14:lon="0" w14:rev="0"/>
            </w14:lightRig>
          </w14:scene3d>
        </w:rPr>
        <w:t xml:space="preserve">4.2 </w:t>
      </w:r>
      <w:r>
        <w:rPr>
          <w:rStyle w:val="32"/>
          <w:rFonts w:hint="eastAsia"/>
        </w:rPr>
        <w:t xml:space="preserve"> 服务项目</w:t>
      </w:r>
      <w:r>
        <w:tab/>
      </w:r>
      <w:r>
        <w:fldChar w:fldCharType="begin"/>
      </w:r>
      <w:r>
        <w:instrText xml:space="preserve"> PAGEREF _Toc179450282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"_Toc179450283" </w:instrText>
      </w:r>
      <w:r>
        <w:fldChar w:fldCharType="separate"/>
      </w:r>
      <w:r>
        <w:rPr>
          <w:rStyle w:val="32"/>
          <w14:scene3d>
            <w14:lightRig w14:rig="threePt" w14:dir="t">
              <w14:rot w14:lat="0" w14:lon="0" w14:rev="0"/>
            </w14:lightRig>
          </w14:scene3d>
        </w:rPr>
        <w:t xml:space="preserve">4.3 </w:t>
      </w:r>
      <w:r>
        <w:rPr>
          <w:rStyle w:val="32"/>
          <w:rFonts w:hint="eastAsia"/>
        </w:rPr>
        <w:t xml:space="preserve"> 经营管理</w:t>
      </w:r>
      <w:r>
        <w:tab/>
      </w:r>
      <w:r>
        <w:fldChar w:fldCharType="begin"/>
      </w:r>
      <w:r>
        <w:instrText xml:space="preserve"> PAGEREF _Toc179450283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"_Toc179450284" </w:instrText>
      </w:r>
      <w:r>
        <w:fldChar w:fldCharType="separate"/>
      </w:r>
      <w:r>
        <w:rPr>
          <w:rStyle w:val="32"/>
          <w14:scene3d>
            <w14:lightRig w14:rig="threePt" w14:dir="t">
              <w14:rot w14:lat="0" w14:lon="0" w14:rev="0"/>
            </w14:lightRig>
          </w14:scene3d>
        </w:rPr>
        <w:t xml:space="preserve">4.4 </w:t>
      </w:r>
      <w:r>
        <w:rPr>
          <w:rStyle w:val="32"/>
          <w:rFonts w:hint="eastAsia"/>
        </w:rPr>
        <w:t xml:space="preserve"> 质量管理</w:t>
      </w:r>
      <w:r>
        <w:tab/>
      </w:r>
      <w:r>
        <w:fldChar w:fldCharType="begin"/>
      </w:r>
      <w:r>
        <w:instrText xml:space="preserve"> PAGEREF _Toc179450284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"_Toc179450285" </w:instrText>
      </w:r>
      <w:r>
        <w:fldChar w:fldCharType="separate"/>
      </w:r>
      <w:r>
        <w:rPr>
          <w:rStyle w:val="32"/>
          <w14:scene3d>
            <w14:lightRig w14:rig="threePt" w14:dir="t">
              <w14:rot w14:lat="0" w14:lon="0" w14:rev="0"/>
            </w14:lightRig>
          </w14:scene3d>
        </w:rPr>
        <w:t xml:space="preserve">4.5 </w:t>
      </w:r>
      <w:r>
        <w:rPr>
          <w:rStyle w:val="32"/>
          <w:rFonts w:hint="eastAsia"/>
        </w:rPr>
        <w:t xml:space="preserve"> 商业信用和社会声誉</w:t>
      </w:r>
      <w:r>
        <w:tab/>
      </w:r>
      <w:r>
        <w:fldChar w:fldCharType="begin"/>
      </w:r>
      <w:r>
        <w:instrText xml:space="preserve"> PAGEREF _Toc179450285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"_Toc179450286" </w:instrText>
      </w:r>
      <w:r>
        <w:fldChar w:fldCharType="separate"/>
      </w:r>
      <w:r>
        <w:rPr>
          <w:rStyle w:val="32"/>
        </w:rPr>
        <w:t xml:space="preserve">5 </w:t>
      </w:r>
      <w:r>
        <w:rPr>
          <w:rStyle w:val="32"/>
          <w:rFonts w:hint="eastAsia"/>
        </w:rPr>
        <w:t xml:space="preserve"> 服务质量等级划分</w:t>
      </w:r>
      <w:r>
        <w:tab/>
      </w:r>
      <w:r>
        <w:fldChar w:fldCharType="begin"/>
      </w:r>
      <w:r>
        <w:instrText xml:space="preserve"> PAGEREF _Toc179450286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"_Toc179450287" </w:instrText>
      </w:r>
      <w:r>
        <w:fldChar w:fldCharType="separate"/>
      </w:r>
      <w:r>
        <w:rPr>
          <w:rStyle w:val="32"/>
          <w14:scene3d>
            <w14:lightRig w14:rig="threePt" w14:dir="t">
              <w14:rot w14:lat="0" w14:lon="0" w14:rev="0"/>
            </w14:lightRig>
          </w14:scene3d>
        </w:rPr>
        <w:t xml:space="preserve">5.1 </w:t>
      </w:r>
      <w:r>
        <w:rPr>
          <w:rStyle w:val="32"/>
          <w:rFonts w:hint="eastAsia"/>
        </w:rPr>
        <w:t xml:space="preserve"> 基本条件</w:t>
      </w:r>
      <w:r>
        <w:tab/>
      </w:r>
      <w:r>
        <w:fldChar w:fldCharType="begin"/>
      </w:r>
      <w:r>
        <w:instrText xml:space="preserve"> PAGEREF _Toc179450287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"_Toc179450288" </w:instrText>
      </w:r>
      <w:r>
        <w:fldChar w:fldCharType="separate"/>
      </w:r>
      <w:r>
        <w:rPr>
          <w:rStyle w:val="32"/>
          <w14:scene3d>
            <w14:lightRig w14:rig="threePt" w14:dir="t">
              <w14:rot w14:lat="0" w14:lon="0" w14:rev="0"/>
            </w14:lightRig>
          </w14:scene3d>
        </w:rPr>
        <w:t xml:space="preserve">5.2 </w:t>
      </w:r>
      <w:r>
        <w:rPr>
          <w:rStyle w:val="32"/>
          <w:rFonts w:hint="eastAsia" w:hAnsi="黑体" w:cs="黑体"/>
        </w:rPr>
        <w:t xml:space="preserve"> 各等级应达到的分值和要求</w:t>
      </w:r>
      <w:r>
        <w:tab/>
      </w:r>
      <w:r>
        <w:fldChar w:fldCharType="begin"/>
      </w:r>
      <w:r>
        <w:instrText xml:space="preserve"> PAGEREF _Toc179450288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"_Toc179450289" </w:instrText>
      </w:r>
      <w:r>
        <w:fldChar w:fldCharType="separate"/>
      </w:r>
      <w:r>
        <w:rPr>
          <w:rStyle w:val="32"/>
          <w14:scene3d>
            <w14:lightRig w14:rig="threePt" w14:dir="t">
              <w14:rot w14:lat="0" w14:lon="0" w14:rev="0"/>
            </w14:lightRig>
          </w14:scene3d>
        </w:rPr>
        <w:t xml:space="preserve">5.3 </w:t>
      </w:r>
      <w:r>
        <w:rPr>
          <w:rStyle w:val="32"/>
          <w:rFonts w:hint="eastAsia"/>
        </w:rPr>
        <w:t xml:space="preserve"> 划分依据</w:t>
      </w:r>
      <w:r>
        <w:tab/>
      </w:r>
      <w:r>
        <w:fldChar w:fldCharType="begin"/>
      </w:r>
      <w:r>
        <w:instrText xml:space="preserve"> PAGEREF _Toc179450289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"_Toc179450290" </w:instrText>
      </w:r>
      <w:r>
        <w:fldChar w:fldCharType="separate"/>
      </w:r>
      <w:r>
        <w:rPr>
          <w:rStyle w:val="32"/>
          <w14:scene3d>
            <w14:lightRig w14:rig="threePt" w14:dir="t">
              <w14:rot w14:lat="0" w14:lon="0" w14:rev="0"/>
            </w14:lightRig>
          </w14:scene3d>
        </w:rPr>
        <w:t xml:space="preserve">5.4 </w:t>
      </w:r>
      <w:r>
        <w:rPr>
          <w:rStyle w:val="32"/>
          <w:rFonts w:hint="eastAsia"/>
        </w:rPr>
        <w:t xml:space="preserve"> 等级划分与表示</w:t>
      </w:r>
      <w:r>
        <w:tab/>
      </w:r>
      <w:r>
        <w:fldChar w:fldCharType="begin"/>
      </w:r>
      <w:r>
        <w:instrText xml:space="preserve"> PAGEREF _Toc179450290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"_Toc179450291" </w:instrText>
      </w:r>
      <w:r>
        <w:fldChar w:fldCharType="separate"/>
      </w:r>
      <w:r>
        <w:rPr>
          <w:rStyle w:val="32"/>
        </w:rPr>
        <w:t xml:space="preserve">6 </w:t>
      </w:r>
      <w:r>
        <w:rPr>
          <w:rStyle w:val="32"/>
          <w:rFonts w:hint="eastAsia"/>
        </w:rPr>
        <w:t xml:space="preserve"> 服务质量等级划分评定</w:t>
      </w:r>
      <w:r>
        <w:tab/>
      </w:r>
      <w:r>
        <w:fldChar w:fldCharType="begin"/>
      </w:r>
      <w:r>
        <w:instrText xml:space="preserve"> PAGEREF _Toc179450291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"_Toc179450292" </w:instrText>
      </w:r>
      <w:r>
        <w:fldChar w:fldCharType="separate"/>
      </w:r>
      <w:r>
        <w:rPr>
          <w:rStyle w:val="32"/>
          <w14:scene3d>
            <w14:lightRig w14:rig="threePt" w14:dir="t">
              <w14:rot w14:lat="0" w14:lon="0" w14:rev="0"/>
            </w14:lightRig>
          </w14:scene3d>
        </w:rPr>
        <w:t xml:space="preserve">6.1 </w:t>
      </w:r>
      <w:r>
        <w:rPr>
          <w:rStyle w:val="32"/>
          <w:rFonts w:hint="eastAsia"/>
        </w:rPr>
        <w:t xml:space="preserve"> 评定组织</w:t>
      </w:r>
      <w:r>
        <w:tab/>
      </w:r>
      <w:r>
        <w:fldChar w:fldCharType="begin"/>
      </w:r>
      <w:r>
        <w:instrText xml:space="preserve"> PAGEREF _Toc179450292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"_Toc179450293" </w:instrText>
      </w:r>
      <w:r>
        <w:fldChar w:fldCharType="separate"/>
      </w:r>
      <w:r>
        <w:rPr>
          <w:rStyle w:val="32"/>
          <w14:scene3d>
            <w14:lightRig w14:rig="threePt" w14:dir="t">
              <w14:rot w14:lat="0" w14:lon="0" w14:rev="0"/>
            </w14:lightRig>
          </w14:scene3d>
        </w:rPr>
        <w:t xml:space="preserve">6.2 </w:t>
      </w:r>
      <w:r>
        <w:rPr>
          <w:rStyle w:val="32"/>
          <w:rFonts w:hint="eastAsia"/>
        </w:rPr>
        <w:t xml:space="preserve"> 评定流程</w:t>
      </w:r>
      <w:r>
        <w:tab/>
      </w:r>
      <w:r>
        <w:fldChar w:fldCharType="begin"/>
      </w:r>
      <w:r>
        <w:instrText xml:space="preserve"> PAGEREF _Toc179450293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"_Toc179450294" </w:instrText>
      </w:r>
      <w:r>
        <w:fldChar w:fldCharType="separate"/>
      </w:r>
      <w:r>
        <w:rPr>
          <w:rStyle w:val="32"/>
          <w14:scene3d>
            <w14:lightRig w14:rig="threePt" w14:dir="t">
              <w14:rot w14:lat="0" w14:lon="0" w14:rev="0"/>
            </w14:lightRig>
          </w14:scene3d>
        </w:rPr>
        <w:t xml:space="preserve">6.3 </w:t>
      </w:r>
      <w:r>
        <w:rPr>
          <w:rStyle w:val="32"/>
          <w:rFonts w:hint="eastAsia"/>
        </w:rPr>
        <w:t xml:space="preserve"> 等级管理</w:t>
      </w:r>
      <w:r>
        <w:tab/>
      </w:r>
      <w:r>
        <w:fldChar w:fldCharType="begin"/>
      </w:r>
      <w:r>
        <w:instrText xml:space="preserve"> PAGEREF _Toc179450294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"_Toc179450295" </w:instrText>
      </w:r>
      <w:r>
        <w:fldChar w:fldCharType="separate"/>
      </w:r>
      <w:r>
        <w:rPr>
          <w:rStyle w:val="32"/>
          <w14:scene3d>
            <w14:lightRig w14:rig="threePt" w14:dir="t">
              <w14:rot w14:lat="0" w14:lon="0" w14:rev="0"/>
            </w14:lightRig>
          </w14:scene3d>
        </w:rPr>
        <w:t xml:space="preserve">6.4 </w:t>
      </w:r>
      <w:r>
        <w:rPr>
          <w:rStyle w:val="32"/>
          <w:rFonts w:hint="eastAsia" w:hAnsi="黑体" w:cs="黑体"/>
        </w:rPr>
        <w:t xml:space="preserve"> 等级的标牌和证书</w:t>
      </w:r>
      <w:r>
        <w:tab/>
      </w:r>
      <w:r>
        <w:fldChar w:fldCharType="begin"/>
      </w:r>
      <w:r>
        <w:instrText xml:space="preserve"> PAGEREF _Toc179450295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"_Toc179450296" </w:instrText>
      </w:r>
      <w:r>
        <w:fldChar w:fldCharType="separate"/>
      </w:r>
      <w:r>
        <w:rPr>
          <w:rStyle w:val="32"/>
          <w:rFonts w:hint="eastAsia"/>
        </w:rPr>
        <w:t>附录A（规范性）</w:t>
      </w:r>
      <w:r>
        <w:rPr>
          <w:rStyle w:val="32"/>
        </w:rPr>
        <w:t xml:space="preserve">  </w:t>
      </w:r>
      <w:r>
        <w:rPr>
          <w:rStyle w:val="32"/>
          <w:rFonts w:hint="eastAsia"/>
        </w:rPr>
        <w:t>旅行社服务质量等级评定评分表</w:t>
      </w:r>
      <w:r>
        <w:tab/>
      </w:r>
      <w:r>
        <w:fldChar w:fldCharType="begin"/>
      </w:r>
      <w:r>
        <w:instrText xml:space="preserve"> PAGEREF _Toc179450296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"_Toc179450297" </w:instrText>
      </w:r>
      <w:r>
        <w:fldChar w:fldCharType="separate"/>
      </w:r>
      <w:r>
        <w:rPr>
          <w:rStyle w:val="32"/>
          <w:rFonts w:hint="eastAsia"/>
        </w:rPr>
        <w:t>参考文献</w:t>
      </w:r>
      <w:r>
        <w:tab/>
      </w:r>
      <w:r>
        <w:fldChar w:fldCharType="begin"/>
      </w:r>
      <w:r>
        <w:instrText xml:space="preserve"> PAGEREF _Toc179450297 \h </w:instrText>
      </w:r>
      <w:r>
        <w:fldChar w:fldCharType="separate"/>
      </w:r>
      <w:r>
        <w:t>7</w:t>
      </w:r>
      <w:r>
        <w:fldChar w:fldCharType="end"/>
      </w:r>
      <w:r>
        <w:fldChar w:fldCharType="end"/>
      </w:r>
    </w:p>
    <w:p>
      <w:pPr>
        <w:pStyle w:val="91"/>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4" w:name="_Toc179450276"/>
      <w:bookmarkStart w:id="25" w:name="BookMark2"/>
      <w:r>
        <w:rPr>
          <w:spacing w:val="320"/>
        </w:rPr>
        <w:t>前</w:t>
      </w:r>
      <w:r>
        <w:t>言</w:t>
      </w:r>
      <w:bookmarkEnd w:id="22"/>
      <w:bookmarkEnd w:id="23"/>
      <w:bookmarkEnd w:id="24"/>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本文件代替DB31/T 477—2018  《旅行社服务质量要求及等级划分》，与DB31/T 477—2018相比，除结构调整和编辑性改动外，主要技术变化如下：</w:t>
      </w:r>
    </w:p>
    <w:p>
      <w:pPr>
        <w:pStyle w:val="132"/>
      </w:pPr>
      <w:r>
        <w:rPr>
          <w:rFonts w:hint="eastAsia"/>
        </w:rPr>
        <w:t>在“术语和定义”中更改了“旅行社”(见3.1,2018年版3.1)、“旅游业务”(见3.3,2018年版3.2)，增加了“旅游者”(见3.2)，删除了“服务质量等级”(2018年版3.6)；</w:t>
      </w:r>
    </w:p>
    <w:p>
      <w:pPr>
        <w:pStyle w:val="132"/>
      </w:pPr>
      <w:r>
        <w:rPr>
          <w:rFonts w:hint="eastAsia"/>
        </w:rPr>
        <w:t>在“服务质量要求”中增加了“服务项目”(见4.2)；</w:t>
      </w:r>
    </w:p>
    <w:p>
      <w:pPr>
        <w:pStyle w:val="132"/>
      </w:pPr>
      <w:r>
        <w:rPr>
          <w:rFonts w:hint="eastAsia" w:hAnsi="宋体" w:cs="宋体"/>
        </w:rPr>
        <w:t>在“经营管理”中删除了“业绩管理”(2018年版4.2.4)；</w:t>
      </w:r>
    </w:p>
    <w:p>
      <w:pPr>
        <w:pStyle w:val="132"/>
      </w:pPr>
      <w:r>
        <w:rPr>
          <w:rFonts w:hint="eastAsia" w:hAnsi="宋体" w:cs="宋体"/>
        </w:rPr>
        <w:t>在“</w:t>
      </w:r>
      <w:r>
        <w:rPr>
          <w:rFonts w:hint="eastAsia" w:hAnsi="黑体" w:cs="黑体"/>
          <w:bCs/>
        </w:rPr>
        <w:t>商业信用和社会声誉</w:t>
      </w:r>
      <w:r>
        <w:rPr>
          <w:rFonts w:hint="eastAsia" w:hAnsi="宋体" w:cs="宋体"/>
        </w:rPr>
        <w:t>”中增加了文明旅游内容 (见4.5.5)；</w:t>
      </w:r>
    </w:p>
    <w:p>
      <w:pPr>
        <w:pStyle w:val="132"/>
      </w:pPr>
      <w:r>
        <w:rPr>
          <w:rFonts w:hint="eastAsia" w:hAnsi="宋体" w:cs="宋体"/>
        </w:rPr>
        <w:t>在“服务质量等级划分”中变更了“基本条件”(见5.1,2018年版5.1)、“划分依据” (见5.3, 2018年版5.2)的内容，增加了“各等级应达到的分值和要求” (见5.2)、“等级划分与表示” (见5.4)；</w:t>
      </w:r>
    </w:p>
    <w:p>
      <w:pPr>
        <w:pStyle w:val="132"/>
      </w:pPr>
      <w:r>
        <w:rPr>
          <w:rFonts w:hint="eastAsia" w:hAnsi="宋体" w:cs="宋体"/>
        </w:rPr>
        <w:t>在“服务质量等级评定”中变更了“评定组织”(见6.1,2018年版6.1)、“等级管理”(见6.3,2018年版6.2)、“等级的标牌和证书” (见6.4,2018年版6.3)的内容，增加了“评定流程”(见6.2)。</w:t>
      </w:r>
    </w:p>
    <w:p>
      <w:pPr>
        <w:pStyle w:val="132"/>
        <w:numPr>
          <w:ilvl w:val="0"/>
          <w:numId w:val="0"/>
        </w:numPr>
        <w:ind w:left="426"/>
        <w:rPr>
          <w:kern w:val="2"/>
          <w:szCs w:val="21"/>
        </w:rPr>
      </w:pPr>
      <w:r>
        <w:rPr>
          <w:rFonts w:hint="eastAsia"/>
        </w:rPr>
        <w:t>请注意本文件的某些内容可能涉及专利。本文件的发布机构不承担识别专利的责任。</w:t>
      </w:r>
    </w:p>
    <w:p>
      <w:pPr>
        <w:pStyle w:val="56"/>
        <w:ind w:firstLine="420"/>
      </w:pPr>
      <w:r>
        <w:rPr>
          <w:rFonts w:hint="eastAsia"/>
        </w:rPr>
        <w:t>本文件由上海市文化和旅游局提出并组织实施。</w:t>
      </w:r>
    </w:p>
    <w:p>
      <w:pPr>
        <w:pStyle w:val="56"/>
        <w:ind w:firstLine="420"/>
      </w:pPr>
      <w:r>
        <w:rPr>
          <w:rFonts w:hint="eastAsia"/>
        </w:rPr>
        <w:t>本文件由上海市旅游标准化技术委员会归口。</w:t>
      </w:r>
    </w:p>
    <w:p>
      <w:pPr>
        <w:pStyle w:val="56"/>
        <w:ind w:firstLine="420"/>
      </w:pPr>
      <w:r>
        <w:rPr>
          <w:rFonts w:hint="eastAsia"/>
        </w:rPr>
        <w:t>本文件起草单位：上海市文化和旅游局、上海市旅游行业协会。</w:t>
      </w:r>
    </w:p>
    <w:p>
      <w:pPr>
        <w:pStyle w:val="56"/>
        <w:ind w:firstLine="420"/>
      </w:pPr>
      <w:r>
        <w:rPr>
          <w:rFonts w:hint="eastAsia"/>
        </w:rPr>
        <w:t>本文件主要起草人：</w:t>
      </w:r>
      <w:r>
        <w:rPr>
          <w:rFonts w:hint="eastAsia" w:hAnsi="宋体" w:cs="宋体"/>
        </w:rPr>
        <w:t>金雷、李兵华、潘晓艳、周迎风、吴伊澄。</w:t>
      </w:r>
    </w:p>
    <w:p>
      <w:pPr>
        <w:spacing w:line="240" w:lineRule="auto"/>
        <w:ind w:firstLine="420"/>
        <w:jc w:val="left"/>
        <w:rPr>
          <w:rFonts w:ascii="宋体" w:hAnsi="宋体" w:cs="宋体"/>
        </w:rPr>
      </w:pPr>
      <w:r>
        <w:rPr>
          <w:rFonts w:hint="eastAsia" w:ascii="宋体" w:hAnsi="宋体" w:cs="宋体"/>
        </w:rPr>
        <w:t>本文件的历次版本发布情况为：</w:t>
      </w:r>
    </w:p>
    <w:p>
      <w:pPr>
        <w:autoSpaceDE w:val="0"/>
        <w:autoSpaceDN w:val="0"/>
        <w:spacing w:line="240" w:lineRule="auto"/>
        <w:ind w:firstLine="420"/>
        <w:jc w:val="left"/>
        <w:rPr>
          <w:rFonts w:ascii="宋体" w:hAnsi="宋体" w:cs="宋体"/>
        </w:rPr>
      </w:pPr>
      <w:r>
        <w:rPr>
          <w:rFonts w:hint="eastAsia" w:ascii="宋体" w:hAnsi="宋体" w:cs="宋体"/>
        </w:rPr>
        <w:t>——2010年首次发布为DB31/T 477—2010；</w:t>
      </w:r>
    </w:p>
    <w:p>
      <w:pPr>
        <w:autoSpaceDE w:val="0"/>
        <w:autoSpaceDN w:val="0"/>
        <w:spacing w:line="240" w:lineRule="auto"/>
        <w:ind w:firstLine="420"/>
        <w:jc w:val="left"/>
        <w:rPr>
          <w:rFonts w:ascii="宋体" w:hAnsi="宋体" w:cs="宋体"/>
        </w:rPr>
      </w:pPr>
      <w:r>
        <w:rPr>
          <w:rFonts w:hint="eastAsia" w:ascii="宋体" w:hAnsi="宋体" w:cs="宋体"/>
        </w:rPr>
        <w:t>——2018年第一次修订发布为DB31/T 477—2018；</w:t>
      </w:r>
    </w:p>
    <w:p>
      <w:pPr>
        <w:autoSpaceDE w:val="0"/>
        <w:autoSpaceDN w:val="0"/>
        <w:spacing w:line="240" w:lineRule="auto"/>
        <w:ind w:firstLine="420"/>
        <w:jc w:val="left"/>
        <w:rPr>
          <w:rFonts w:ascii="宋体" w:hAnsi="宋体" w:cs="宋体"/>
        </w:rPr>
      </w:pPr>
      <w:r>
        <w:rPr>
          <w:rFonts w:hint="eastAsia" w:ascii="宋体" w:hAnsi="宋体" w:cs="宋体"/>
        </w:rPr>
        <w:t>——本次为第二次修订。</w:t>
      </w:r>
    </w:p>
    <w:p>
      <w:pPr>
        <w:pStyle w:val="56"/>
        <w:ind w:firstLine="420"/>
      </w:pPr>
    </w:p>
    <w:p>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9D1DCD5FB40040618A9226B98B8DCFB0"/>
        </w:placeholder>
      </w:sdtPr>
      <w:sdtContent>
        <w:p>
          <w:pPr>
            <w:pStyle w:val="177"/>
            <w:spacing w:before="312" w:beforeLines="100" w:after="686" w:afterLines="220"/>
          </w:pPr>
          <w:bookmarkStart w:id="27" w:name="NEW_STAND_NAME"/>
          <w:r>
            <w:rPr>
              <w:rFonts w:hint="eastAsia"/>
            </w:rPr>
            <w:t>旅行社服务质量要求及等级划分</w:t>
          </w:r>
        </w:p>
      </w:sdtContent>
    </w:sdt>
    <w:bookmarkEnd w:id="27"/>
    <w:p>
      <w:pPr>
        <w:pStyle w:val="104"/>
        <w:spacing w:before="312" w:after="312"/>
      </w:pPr>
      <w:bookmarkStart w:id="28" w:name="_Toc176604339"/>
      <w:bookmarkStart w:id="29" w:name="_Toc179450277"/>
      <w:bookmarkStart w:id="30" w:name="_Toc26648465"/>
      <w:bookmarkStart w:id="31" w:name="_Toc26718930"/>
      <w:bookmarkStart w:id="32" w:name="_Toc24884218"/>
      <w:bookmarkStart w:id="33" w:name="_Toc97191423"/>
      <w:bookmarkStart w:id="34" w:name="_Toc26986530"/>
      <w:bookmarkStart w:id="35" w:name="_Toc17233333"/>
      <w:bookmarkStart w:id="36" w:name="_Toc176772684"/>
      <w:bookmarkStart w:id="37" w:name="_Toc24884211"/>
      <w:bookmarkStart w:id="38" w:name="_Toc176637122"/>
      <w:bookmarkStart w:id="39" w:name="_Toc17233325"/>
      <w:bookmarkStart w:id="40" w:name="_Toc2698677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pPr>
        <w:pStyle w:val="56"/>
        <w:ind w:firstLine="420"/>
      </w:pPr>
      <w:bookmarkStart w:id="41" w:name="_Toc26648466"/>
      <w:bookmarkStart w:id="42" w:name="_Toc24884219"/>
      <w:bookmarkStart w:id="43" w:name="_Toc17233334"/>
      <w:bookmarkStart w:id="44" w:name="_Toc24884212"/>
      <w:bookmarkStart w:id="45" w:name="_Toc17233326"/>
      <w:r>
        <w:rPr>
          <w:rFonts w:hint="eastAsia"/>
        </w:rPr>
        <w:t>本文件规定了旅行社服务质量、等级划分和等级评定的要求。</w:t>
      </w:r>
    </w:p>
    <w:p>
      <w:pPr>
        <w:pStyle w:val="56"/>
        <w:ind w:firstLine="420"/>
      </w:pPr>
      <w:r>
        <w:rPr>
          <w:rFonts w:hint="eastAsia"/>
        </w:rPr>
        <w:t>本文件适用于自愿参与旅行社服务质量等级划分的具有本市独立法人资格的旅行社。</w:t>
      </w:r>
    </w:p>
    <w:p>
      <w:pPr>
        <w:pStyle w:val="104"/>
        <w:spacing w:before="312" w:after="312"/>
      </w:pPr>
      <w:bookmarkStart w:id="46" w:name="_Toc26718931"/>
      <w:bookmarkStart w:id="47" w:name="_Toc176772685"/>
      <w:bookmarkStart w:id="48" w:name="_Toc176637123"/>
      <w:bookmarkStart w:id="49" w:name="_Toc26986772"/>
      <w:bookmarkStart w:id="50" w:name="_Toc176604340"/>
      <w:bookmarkStart w:id="51" w:name="_Toc26986531"/>
      <w:bookmarkStart w:id="52" w:name="_Toc179450278"/>
      <w:bookmarkStart w:id="53" w:name="_Toc97191424"/>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E09557B9970E497292943D4E34F2A63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09" w:firstLineChars="195"/>
      </w:pPr>
      <w:r>
        <w:rPr>
          <w:rFonts w:hint="eastAsia"/>
        </w:rPr>
        <w:t>GB/T 16766—2017  旅游业基础术语</w:t>
      </w:r>
    </w:p>
    <w:p>
      <w:pPr>
        <w:pStyle w:val="56"/>
        <w:ind w:left="420" w:firstLine="0" w:firstLineChars="0"/>
      </w:pPr>
      <w:r>
        <w:rPr>
          <w:rFonts w:hint="eastAsia"/>
        </w:rPr>
        <w:t>GB/T 31385  旅行社服务通则</w:t>
      </w:r>
    </w:p>
    <w:p>
      <w:pPr>
        <w:pStyle w:val="104"/>
        <w:spacing w:before="312" w:after="312"/>
      </w:pPr>
      <w:bookmarkStart w:id="54" w:name="_Toc176637124"/>
      <w:bookmarkStart w:id="55" w:name="_Toc176604341"/>
      <w:bookmarkStart w:id="56" w:name="_Toc176772686"/>
      <w:bookmarkStart w:id="57" w:name="_Toc97191425"/>
      <w:bookmarkStart w:id="58" w:name="_Toc179450279"/>
      <w:r>
        <w:rPr>
          <w:rFonts w:hint="eastAsia"/>
          <w:szCs w:val="21"/>
        </w:rPr>
        <w:t>术语和定义</w:t>
      </w:r>
      <w:bookmarkEnd w:id="54"/>
      <w:bookmarkEnd w:id="55"/>
      <w:bookmarkEnd w:id="56"/>
      <w:bookmarkEnd w:id="57"/>
      <w:bookmarkEnd w:id="58"/>
    </w:p>
    <w:sdt>
      <w:sdtPr>
        <w:rPr>
          <w:rFonts w:hAnsi="宋体"/>
        </w:rPr>
        <w:id w:val="-1909835108"/>
        <w:placeholder>
          <w:docPart w:val="143DD88FDF624B56B6B1B4F660B4CAA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pPr>
            <w:pStyle w:val="56"/>
            <w:ind w:firstLine="420"/>
          </w:pPr>
          <w:bookmarkStart w:id="59" w:name="_Toc26986532"/>
          <w:bookmarkEnd w:id="59"/>
          <w:r>
            <w:rPr>
              <w:rFonts w:hint="eastAsia" w:hAnsi="宋体"/>
            </w:rPr>
            <w:t>GB/T 16766—2017</w:t>
          </w:r>
          <w:r>
            <w:rPr>
              <w:rFonts w:hAnsi="宋体"/>
            </w:rPr>
            <w:t>界定的以及下列术语和定义适用于本文件。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cs="黑体"/>
          <w:bCs/>
        </w:rPr>
        <w:t>旅行社  travel agency</w:t>
      </w:r>
    </w:p>
    <w:p>
      <w:pPr>
        <w:pStyle w:val="56"/>
        <w:ind w:firstLine="420"/>
      </w:pPr>
      <w:r>
        <w:rPr>
          <w:rFonts w:hint="eastAsia"/>
        </w:rPr>
        <w:t>为旅游者提供相关旅游服务，开展国内旅游业务、入境旅游业务或出境旅游业务,并实行独立核算的企业。</w:t>
      </w:r>
    </w:p>
    <w:p>
      <w:pPr>
        <w:pStyle w:val="56"/>
        <w:ind w:firstLine="420"/>
      </w:pPr>
      <w:r>
        <w:rPr>
          <w:rFonts w:hint="eastAsia"/>
        </w:rPr>
        <w:t>[来源：GB/T 16766—2017，4.11]</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cs="黑体"/>
          <w:bCs/>
        </w:rPr>
        <w:t>旅游者  tourist</w:t>
      </w:r>
    </w:p>
    <w:p>
      <w:pPr>
        <w:pStyle w:val="56"/>
        <w:ind w:firstLine="420"/>
      </w:pPr>
      <w:r>
        <w:rPr>
          <w:rFonts w:hint="eastAsia"/>
        </w:rPr>
        <w:t>离开惯常环境旅行，时间不超过12个月，且不从事获取报酬活动的人。</w:t>
      </w:r>
    </w:p>
    <w:p>
      <w:pPr>
        <w:pStyle w:val="56"/>
        <w:ind w:firstLine="420"/>
      </w:pPr>
      <w:r>
        <w:rPr>
          <w:rFonts w:hint="eastAsia"/>
        </w:rPr>
        <w:t>[来源：GB/T 16766—2017，2.2]</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cs="黑体"/>
          <w:bCs/>
        </w:rPr>
        <w:t>旅游业务  tour business</w:t>
      </w:r>
    </w:p>
    <w:p>
      <w:pPr>
        <w:pStyle w:val="56"/>
        <w:ind w:firstLine="420"/>
      </w:pPr>
      <w:r>
        <w:rPr>
          <w:rFonts w:hint="eastAsia"/>
        </w:rPr>
        <w:t>招徕、组织、接待旅游者，为旅游者安排食、住、行、游、娱、购等有偿服务的经营活动。</w:t>
      </w:r>
    </w:p>
    <w:p>
      <w:pPr>
        <w:pStyle w:val="179"/>
        <w:numPr>
          <w:ilvl w:val="0"/>
          <w:numId w:val="0"/>
        </w:numPr>
        <w:ind w:left="737" w:hanging="374"/>
      </w:pPr>
      <w:r>
        <w:rPr>
          <w:rFonts w:hint="eastAsia" w:ascii="黑体" w:hAnsi="黑体" w:eastAsia="黑体"/>
        </w:rPr>
        <w:t>注：</w:t>
      </w:r>
      <w:r>
        <w:rPr>
          <w:rFonts w:hint="eastAsia"/>
        </w:rPr>
        <w:t>包含境内旅游业务、出境旅游业务和入境旅游业务。</w:t>
      </w:r>
    </w:p>
    <w:p>
      <w:pPr>
        <w:pStyle w:val="223"/>
        <w:ind w:left="420" w:hanging="420" w:hangingChars="200"/>
        <w:rPr>
          <w:rFonts w:ascii="黑体" w:hAnsi="黑体" w:eastAsia="黑体" w:cs="黑体"/>
          <w:bCs/>
        </w:rPr>
      </w:pPr>
      <w:r>
        <w:rPr>
          <w:rFonts w:ascii="黑体" w:hAnsi="黑体" w:eastAsia="黑体"/>
        </w:rPr>
        <w:br w:type="textWrapping"/>
      </w:r>
      <w:r>
        <w:rPr>
          <w:rFonts w:hint="eastAsia" w:ascii="黑体" w:hAnsi="黑体" w:eastAsia="黑体" w:cs="黑体"/>
          <w:bCs/>
        </w:rPr>
        <w:t>旅游产品  tour product</w:t>
      </w:r>
    </w:p>
    <w:p>
      <w:pPr>
        <w:pStyle w:val="56"/>
        <w:ind w:firstLine="420"/>
      </w:pPr>
      <w:r>
        <w:rPr>
          <w:rFonts w:hint="eastAsia"/>
        </w:rPr>
        <w:t>通过利用、开发旅游资源提供给旅游者的旅游吸引物与服务的组合。</w:t>
      </w:r>
    </w:p>
    <w:p>
      <w:pPr>
        <w:pStyle w:val="56"/>
        <w:ind w:firstLine="416"/>
      </w:pPr>
      <w:r>
        <w:rPr>
          <w:rFonts w:hAnsi="宋体" w:cs="宋体"/>
          <w:snapToGrid w:val="0"/>
          <w:color w:val="000000"/>
          <w:spacing w:val="-1"/>
          <w:lang w:bidi="ar"/>
        </w:rPr>
        <w:t>[</w:t>
      </w:r>
      <w:r>
        <w:rPr>
          <w:rFonts w:hint="eastAsia" w:hAnsi="宋体" w:cs="宋体"/>
          <w:snapToGrid w:val="0"/>
          <w:color w:val="000000"/>
          <w:spacing w:val="-1"/>
          <w:lang w:bidi="ar"/>
        </w:rPr>
        <w:t>来源</w:t>
      </w:r>
      <w:r>
        <w:rPr>
          <w:rFonts w:hint="eastAsia"/>
        </w:rPr>
        <w:t>：</w:t>
      </w:r>
      <w:r>
        <w:rPr>
          <w:rFonts w:hAnsi="宋体" w:cs="宋体"/>
          <w:snapToGrid w:val="0"/>
          <w:color w:val="000000"/>
          <w:lang w:bidi="ar"/>
        </w:rPr>
        <w:t xml:space="preserve">GB/T </w:t>
      </w:r>
      <w:r>
        <w:rPr>
          <w:rFonts w:hAnsi="宋体"/>
        </w:rPr>
        <w:t>16766</w:t>
      </w:r>
      <w:r>
        <w:rPr>
          <w:rFonts w:hint="eastAsia" w:hAnsi="宋体"/>
        </w:rPr>
        <w:t>—</w:t>
      </w:r>
      <w:r>
        <w:rPr>
          <w:rFonts w:hAnsi="宋体"/>
        </w:rPr>
        <w:t>2017</w:t>
      </w:r>
      <w:r>
        <w:rPr>
          <w:rFonts w:hint="eastAsia" w:hAnsi="宋体" w:cs="宋体"/>
          <w:snapToGrid w:val="0"/>
          <w:color w:val="000000"/>
          <w:lang w:bidi="ar"/>
        </w:rPr>
        <w:t>，</w:t>
      </w:r>
      <w:r>
        <w:rPr>
          <w:rFonts w:hAnsi="宋体" w:cs="宋体"/>
          <w:snapToGrid w:val="0"/>
          <w:color w:val="000000"/>
          <w:lang w:bidi="ar"/>
        </w:rPr>
        <w:t>2.5]</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cs="黑体"/>
          <w:bCs/>
        </w:rPr>
        <w:t>旅游合同  tour contract</w:t>
      </w:r>
    </w:p>
    <w:p>
      <w:pPr>
        <w:pStyle w:val="56"/>
        <w:ind w:firstLine="420"/>
      </w:pPr>
      <w:r>
        <w:rPr>
          <w:rFonts w:hint="eastAsia"/>
        </w:rPr>
        <w:t>组团社与旅游者(团)双方共同签署并遵守的、约定双方权利和义务的合同。</w:t>
      </w:r>
    </w:p>
    <w:p>
      <w:pPr>
        <w:pStyle w:val="104"/>
        <w:spacing w:before="312" w:after="312"/>
      </w:pPr>
      <w:bookmarkStart w:id="60" w:name="_Toc179450280"/>
      <w:bookmarkStart w:id="61" w:name="_Toc176637125"/>
      <w:bookmarkStart w:id="62" w:name="_Toc176772687"/>
      <w:r>
        <w:t>服务质量要求</w:t>
      </w:r>
      <w:bookmarkEnd w:id="60"/>
      <w:bookmarkEnd w:id="61"/>
      <w:bookmarkEnd w:id="62"/>
    </w:p>
    <w:p>
      <w:pPr>
        <w:pStyle w:val="105"/>
        <w:spacing w:before="156" w:after="156"/>
      </w:pPr>
      <w:bookmarkStart w:id="63" w:name="_Toc176637126"/>
      <w:bookmarkStart w:id="64" w:name="_Toc179450281"/>
      <w:bookmarkStart w:id="65" w:name="_Toc176772688"/>
      <w:r>
        <w:t>服务场所及设施</w:t>
      </w:r>
      <w:bookmarkEnd w:id="63"/>
      <w:bookmarkEnd w:id="64"/>
      <w:bookmarkEnd w:id="65"/>
    </w:p>
    <w:p>
      <w:pPr>
        <w:pStyle w:val="165"/>
      </w:pPr>
      <w:r>
        <w:rPr>
          <w:rFonts w:hint="eastAsia"/>
        </w:rPr>
        <w:t>应有与旅行社规模和等级相适应的具有独立产权或签订一年以上租赁合同的营业场所。</w:t>
      </w:r>
    </w:p>
    <w:p>
      <w:pPr>
        <w:pStyle w:val="165"/>
      </w:pPr>
      <w:r>
        <w:rPr>
          <w:rFonts w:hint="eastAsia" w:hAnsi="宋体"/>
        </w:rPr>
        <w:t>营业场所应保持相对独立，与周围环境相协调，布局合理，设有咨询与接待设施，相关的标志有规范的中英文显示。</w:t>
      </w:r>
    </w:p>
    <w:p>
      <w:pPr>
        <w:pStyle w:val="165"/>
      </w:pPr>
      <w:r>
        <w:rPr>
          <w:rFonts w:hint="eastAsia" w:hAnsi="宋体"/>
        </w:rPr>
        <w:t>营业场所应提供本社的服务项目宣传品、旅游线路价目表、上海周边及旅游目的地介绍和旅游交通图、旅游安全须知以及由旅游行政管理部门推荐发放的宣传品，以备旅游者查阅。</w:t>
      </w:r>
    </w:p>
    <w:p>
      <w:pPr>
        <w:pStyle w:val="165"/>
      </w:pPr>
      <w:r>
        <w:rPr>
          <w:rFonts w:hint="eastAsia" w:hAnsi="宋体"/>
        </w:rPr>
        <w:t>营业场所应有电话、传真、互联网等通讯工具，旅游者可以通过电话、传真、电子邮件等方式向旅行社咨询和预订旅游产品。</w:t>
      </w:r>
    </w:p>
    <w:p>
      <w:pPr>
        <w:pStyle w:val="165"/>
      </w:pPr>
      <w:r>
        <w:rPr>
          <w:rFonts w:hint="eastAsia" w:hAnsi="宋体"/>
        </w:rPr>
        <w:t>营业场所应设有旅游者休息区域。</w:t>
      </w:r>
    </w:p>
    <w:p>
      <w:pPr>
        <w:pStyle w:val="165"/>
      </w:pPr>
      <w:r>
        <w:rPr>
          <w:rFonts w:hint="eastAsia" w:hAnsi="宋体"/>
        </w:rPr>
        <w:t>营业场所应提供咨询、接待、签订合同、付款等服务。</w:t>
      </w:r>
    </w:p>
    <w:p>
      <w:pPr>
        <w:pStyle w:val="165"/>
      </w:pPr>
      <w:r>
        <w:rPr>
          <w:rFonts w:hint="eastAsia" w:hAnsi="宋体"/>
        </w:rPr>
        <w:t>营业场所涉及的门市部服务应符合GB/T 31385的规定。</w:t>
      </w:r>
    </w:p>
    <w:p>
      <w:pPr>
        <w:pStyle w:val="105"/>
        <w:spacing w:before="156" w:after="156"/>
      </w:pPr>
      <w:bookmarkStart w:id="66" w:name="_Toc176772689"/>
      <w:bookmarkStart w:id="67" w:name="_Toc179450282"/>
      <w:bookmarkStart w:id="68" w:name="_Toc176637127"/>
      <w:r>
        <w:t>服务项目</w:t>
      </w:r>
      <w:bookmarkEnd w:id="66"/>
      <w:bookmarkEnd w:id="67"/>
      <w:bookmarkEnd w:id="68"/>
    </w:p>
    <w:p>
      <w:pPr>
        <w:pStyle w:val="65"/>
        <w:spacing w:before="156" w:after="156"/>
      </w:pPr>
      <w:r>
        <w:rPr>
          <w:rFonts w:hint="eastAsia"/>
        </w:rPr>
        <w:t>旅游产品服务</w:t>
      </w:r>
    </w:p>
    <w:p>
      <w:pPr>
        <w:pStyle w:val="94"/>
        <w:spacing w:before="156" w:after="156"/>
      </w:pPr>
      <w:r>
        <w:rPr>
          <w:rFonts w:hint="eastAsia"/>
        </w:rPr>
        <w:t>预制旅游产品服务</w:t>
      </w:r>
    </w:p>
    <w:p>
      <w:pPr>
        <w:pStyle w:val="56"/>
        <w:ind w:firstLine="420"/>
      </w:pPr>
      <w:r>
        <w:rPr>
          <w:rFonts w:hint="eastAsia"/>
        </w:rPr>
        <w:t>旅行社应为旅游者提供事先制定的确定计划人数、出发日期、线路行程及价格的旅游产品服务。</w:t>
      </w:r>
    </w:p>
    <w:p>
      <w:pPr>
        <w:pStyle w:val="94"/>
        <w:spacing w:before="156" w:after="156"/>
      </w:pPr>
      <w:r>
        <w:t>定制旅游产品服务</w:t>
      </w:r>
    </w:p>
    <w:p>
      <w:pPr>
        <w:pStyle w:val="56"/>
        <w:ind w:firstLine="420"/>
      </w:pPr>
      <w:r>
        <w:rPr>
          <w:rFonts w:hint="eastAsia" w:hAnsi="宋体"/>
        </w:rPr>
        <w:t>旅行社应根据旅游者的需求</w:t>
      </w:r>
      <w:r>
        <w:rPr>
          <w:rFonts w:hAnsi="宋体"/>
        </w:rPr>
        <w:t>,</w:t>
      </w:r>
      <w:r>
        <w:rPr>
          <w:rFonts w:hint="eastAsia" w:hAnsi="宋体"/>
        </w:rPr>
        <w:t>提供单独设计行程、报价并为其组团的旅游服务。</w:t>
      </w:r>
    </w:p>
    <w:p>
      <w:pPr>
        <w:pStyle w:val="65"/>
        <w:spacing w:before="156" w:after="156"/>
      </w:pPr>
      <w:r>
        <w:t>入境旅游服务</w:t>
      </w:r>
    </w:p>
    <w:p>
      <w:pPr>
        <w:pStyle w:val="56"/>
        <w:ind w:firstLine="420"/>
      </w:pPr>
      <w:r>
        <w:rPr>
          <w:rFonts w:hint="eastAsia" w:hAnsi="宋体"/>
        </w:rPr>
        <w:t>旅行社应为</w:t>
      </w:r>
      <w:r>
        <w:rPr>
          <w:rFonts w:hint="eastAsia" w:hAnsi="黑体" w:cs="黑体"/>
        </w:rPr>
        <w:t>境外旅行社或旅游者提供旅游线路和相关的旅游服务。</w:t>
      </w:r>
    </w:p>
    <w:p>
      <w:pPr>
        <w:pStyle w:val="65"/>
        <w:spacing w:before="156" w:after="156"/>
      </w:pPr>
      <w:r>
        <w:t>专项旅游服务</w:t>
      </w:r>
    </w:p>
    <w:p>
      <w:pPr>
        <w:pStyle w:val="56"/>
        <w:ind w:firstLine="420"/>
      </w:pPr>
      <w:r>
        <w:rPr>
          <w:rFonts w:hint="eastAsia" w:hAnsi="宋体"/>
        </w:rPr>
        <w:t>旅行社应为旅游者提供特定主题内容的旅游服务，如红色旅游、会奖旅游、节事旅游等。</w:t>
      </w:r>
    </w:p>
    <w:p>
      <w:pPr>
        <w:pStyle w:val="105"/>
        <w:spacing w:before="156" w:after="156"/>
      </w:pPr>
      <w:bookmarkStart w:id="69" w:name="_Toc176772690"/>
      <w:bookmarkStart w:id="70" w:name="_Toc176637128"/>
      <w:bookmarkStart w:id="71" w:name="_Toc179450283"/>
      <w:r>
        <w:t>经营管理</w:t>
      </w:r>
      <w:bookmarkEnd w:id="69"/>
      <w:bookmarkEnd w:id="70"/>
      <w:bookmarkEnd w:id="71"/>
    </w:p>
    <w:p>
      <w:pPr>
        <w:pStyle w:val="65"/>
        <w:spacing w:before="156" w:after="156"/>
      </w:pPr>
      <w:r>
        <w:rPr>
          <w:rFonts w:hint="eastAsia"/>
        </w:rPr>
        <w:t>品牌管理</w:t>
      </w:r>
    </w:p>
    <w:p>
      <w:pPr>
        <w:pStyle w:val="164"/>
      </w:pPr>
      <w:r>
        <w:rPr>
          <w:rFonts w:hint="eastAsia" w:hAnsi="宋体"/>
        </w:rPr>
        <w:t>旅行社应拥有企业注册商标，并在子公司、分公司和门市部统一使用。</w:t>
      </w:r>
    </w:p>
    <w:p>
      <w:pPr>
        <w:pStyle w:val="164"/>
      </w:pPr>
      <w:r>
        <w:rPr>
          <w:rFonts w:hint="eastAsia" w:hAnsi="宋体"/>
        </w:rPr>
        <w:t>旅行社应拥有企业独立的网站或者手机客户端APP,企业公众号、小程序等可以接受旅游者网上或者手机客户端预订；旅行社设立的从事旅游业务的非独立法人机构应与总部实行联网销售，并实行“统一管理、统一财务、统一招徕、统一接待”。</w:t>
      </w:r>
    </w:p>
    <w:p>
      <w:pPr>
        <w:pStyle w:val="65"/>
        <w:spacing w:before="156" w:after="156"/>
      </w:pPr>
      <w:r>
        <w:t>员工管理</w:t>
      </w:r>
    </w:p>
    <w:p>
      <w:pPr>
        <w:pStyle w:val="164"/>
      </w:pPr>
      <w:r>
        <w:rPr>
          <w:rFonts w:hint="eastAsia" w:hAnsi="宋体"/>
        </w:rPr>
        <w:t>营业场所接待人员应统一着装，并佩戴企业标识或岗位标牌。</w:t>
      </w:r>
    </w:p>
    <w:p>
      <w:pPr>
        <w:pStyle w:val="164"/>
      </w:pPr>
      <w:r>
        <w:rPr>
          <w:rFonts w:hint="eastAsia" w:hAnsi="宋体"/>
        </w:rPr>
        <w:t>管理人员中具有大专以上（含大专）学历者所占比例应不低于40%。</w:t>
      </w:r>
    </w:p>
    <w:p>
      <w:pPr>
        <w:pStyle w:val="164"/>
      </w:pPr>
      <w:r>
        <w:rPr>
          <w:rFonts w:hint="eastAsia" w:hAnsi="宋体"/>
        </w:rPr>
        <w:t>应制定并执行业务培训制度，且有培训经费预算保证，旅行社员工按照要求参加由旅游行政管理部门举办的培训活动，并通过考核。</w:t>
      </w:r>
    </w:p>
    <w:p>
      <w:pPr>
        <w:pStyle w:val="65"/>
        <w:spacing w:before="156" w:after="156"/>
      </w:pPr>
      <w:r>
        <w:t>财务管理</w:t>
      </w:r>
    </w:p>
    <w:p>
      <w:pPr>
        <w:pStyle w:val="164"/>
      </w:pPr>
      <w:r>
        <w:rPr>
          <w:rFonts w:hint="eastAsia" w:hAnsi="宋体"/>
        </w:rPr>
        <w:t>应至少有2名具有初级以上（含初级）职称的固定兼职或专职财务人员。</w:t>
      </w:r>
    </w:p>
    <w:p>
      <w:pPr>
        <w:pStyle w:val="164"/>
      </w:pPr>
      <w:r>
        <w:rPr>
          <w:rFonts w:hint="eastAsia" w:hAnsi="宋体"/>
        </w:rPr>
        <w:t>应具有符合国家规定的财务制度和审计制度。</w:t>
      </w:r>
    </w:p>
    <w:p>
      <w:pPr>
        <w:pStyle w:val="105"/>
        <w:spacing w:before="156" w:after="156"/>
      </w:pPr>
      <w:bookmarkStart w:id="72" w:name="_Toc176772691"/>
      <w:bookmarkStart w:id="73" w:name="_Toc176637129"/>
      <w:bookmarkStart w:id="74" w:name="_Toc179450284"/>
      <w:r>
        <w:t>质量管理</w:t>
      </w:r>
      <w:bookmarkEnd w:id="72"/>
      <w:bookmarkEnd w:id="73"/>
      <w:bookmarkEnd w:id="74"/>
    </w:p>
    <w:p>
      <w:pPr>
        <w:pStyle w:val="65"/>
        <w:spacing w:before="156" w:after="156"/>
      </w:pPr>
      <w:r>
        <w:t>投诉管理</w:t>
      </w:r>
    </w:p>
    <w:p>
      <w:pPr>
        <w:pStyle w:val="164"/>
      </w:pPr>
      <w:r>
        <w:rPr>
          <w:rFonts w:hint="eastAsia" w:hAnsi="宋体" w:cs="宋体"/>
        </w:rPr>
        <w:t>应制定完善的投诉处理制度。应有向社会公布的投诉或咨询电话，并及时处理旅游者投诉。</w:t>
      </w:r>
    </w:p>
    <w:p>
      <w:pPr>
        <w:pStyle w:val="164"/>
      </w:pPr>
      <w:r>
        <w:rPr>
          <w:rFonts w:hint="eastAsia" w:hAnsi="宋体" w:cs="宋体"/>
        </w:rPr>
        <w:t>应积极配合旅游质监部门调查、核实、处理旅游投诉。</w:t>
      </w:r>
    </w:p>
    <w:p>
      <w:pPr>
        <w:pStyle w:val="65"/>
        <w:spacing w:before="156" w:after="156"/>
      </w:pPr>
      <w:r>
        <w:t>安全管理</w:t>
      </w:r>
    </w:p>
    <w:p>
      <w:pPr>
        <w:pStyle w:val="164"/>
      </w:pPr>
      <w:r>
        <w:rPr>
          <w:rFonts w:hint="eastAsia" w:hAnsi="宋体"/>
        </w:rPr>
        <w:t>应拥有健全的安全管理制度。</w:t>
      </w:r>
    </w:p>
    <w:p>
      <w:pPr>
        <w:pStyle w:val="164"/>
      </w:pPr>
      <w:r>
        <w:rPr>
          <w:rFonts w:hint="eastAsia" w:hAnsi="宋体"/>
        </w:rPr>
        <w:t>营业场所应规范设置安全引导标志，确保接待过程中的安全和秩序。</w:t>
      </w:r>
    </w:p>
    <w:p>
      <w:pPr>
        <w:pStyle w:val="164"/>
      </w:pPr>
      <w:r>
        <w:rPr>
          <w:rFonts w:hint="eastAsia" w:hAnsi="宋体"/>
        </w:rPr>
        <w:t>应确保旅游者的信息安全。</w:t>
      </w:r>
    </w:p>
    <w:p>
      <w:pPr>
        <w:pStyle w:val="65"/>
        <w:spacing w:before="156" w:after="156"/>
      </w:pPr>
      <w:r>
        <w:t>危机管理</w:t>
      </w:r>
    </w:p>
    <w:p>
      <w:pPr>
        <w:pStyle w:val="164"/>
      </w:pPr>
      <w:r>
        <w:rPr>
          <w:rFonts w:hint="eastAsia" w:hAnsi="宋体"/>
        </w:rPr>
        <w:t>应制定危机事件处理预案，建立危机事件处理机制。</w:t>
      </w:r>
    </w:p>
    <w:p>
      <w:pPr>
        <w:pStyle w:val="164"/>
      </w:pPr>
      <w:r>
        <w:rPr>
          <w:rFonts w:hint="eastAsia" w:hAnsi="宋体"/>
        </w:rPr>
        <w:t>应具有重大事项报告制度。</w:t>
      </w:r>
    </w:p>
    <w:p>
      <w:pPr>
        <w:pStyle w:val="65"/>
        <w:spacing w:before="156" w:after="156"/>
      </w:pPr>
      <w:r>
        <w:t>信息技术管理</w:t>
      </w:r>
    </w:p>
    <w:p>
      <w:pPr>
        <w:pStyle w:val="56"/>
        <w:ind w:firstLine="420"/>
      </w:pPr>
      <w:r>
        <w:rPr>
          <w:rFonts w:hint="eastAsia" w:hAnsi="宋体"/>
        </w:rPr>
        <w:t>旅行社开展业务活动应纳入全国旅游监管服务平台,与旅游行政管理部门的旅游信息管理系统联网。</w:t>
      </w:r>
    </w:p>
    <w:p>
      <w:pPr>
        <w:pStyle w:val="105"/>
        <w:spacing w:before="156" w:after="156"/>
      </w:pPr>
      <w:bookmarkStart w:id="75" w:name="_Toc176772692"/>
      <w:bookmarkStart w:id="76" w:name="_Toc179450285"/>
      <w:bookmarkStart w:id="77" w:name="_Toc176637130"/>
      <w:r>
        <w:rPr>
          <w:rFonts w:hint="eastAsia"/>
        </w:rPr>
        <w:t>商业信用和社会声誉</w:t>
      </w:r>
      <w:bookmarkEnd w:id="75"/>
      <w:bookmarkEnd w:id="76"/>
      <w:bookmarkEnd w:id="77"/>
    </w:p>
    <w:p>
      <w:pPr>
        <w:pStyle w:val="165"/>
      </w:pPr>
      <w:r>
        <w:rPr>
          <w:rFonts w:hint="eastAsia" w:hAnsi="宋体"/>
        </w:rPr>
        <w:t>应制定并执行周期性的旅游者意见反馈制度，对旅游者反馈信息和处理结果有详实的记录。</w:t>
      </w:r>
    </w:p>
    <w:p>
      <w:pPr>
        <w:pStyle w:val="165"/>
      </w:pPr>
      <w:r>
        <w:rPr>
          <w:rFonts w:hint="eastAsia" w:hAnsi="宋体"/>
        </w:rPr>
        <w:t>应与旅游者签订旅游合同，签约率达到100%。</w:t>
      </w:r>
    </w:p>
    <w:p>
      <w:pPr>
        <w:pStyle w:val="165"/>
      </w:pPr>
      <w:r>
        <w:rPr>
          <w:rFonts w:hint="eastAsia" w:hAnsi="宋体"/>
        </w:rPr>
        <w:t>应与供应商和同业客户签订合同，并按约定的期限和付款条件履约。</w:t>
      </w:r>
    </w:p>
    <w:p>
      <w:pPr>
        <w:pStyle w:val="165"/>
      </w:pPr>
      <w:r>
        <w:rPr>
          <w:rFonts w:hint="eastAsia" w:hAnsi="宋体" w:cs="宋体"/>
        </w:rPr>
        <w:t>每年应参加两项以上社会公益活动。</w:t>
      </w:r>
    </w:p>
    <w:p>
      <w:pPr>
        <w:pStyle w:val="165"/>
      </w:pPr>
      <w:r>
        <w:rPr>
          <w:rFonts w:hint="eastAsia" w:hAnsi="宋体" w:cs="宋体"/>
        </w:rPr>
        <w:t>旅行社应</w:t>
      </w:r>
      <w:r>
        <w:rPr>
          <w:rFonts w:hint="eastAsia" w:hAnsi="宋体" w:cs="宋体"/>
          <w:shd w:val="clear" w:color="auto" w:fill="FFFFFF"/>
        </w:rPr>
        <w:t>履行社会责任，</w:t>
      </w:r>
      <w:r>
        <w:rPr>
          <w:rFonts w:hint="eastAsia" w:hAnsi="宋体" w:cs="宋体"/>
        </w:rPr>
        <w:t>倡导文明旅游，</w:t>
      </w:r>
      <w:r>
        <w:rPr>
          <w:rFonts w:hint="eastAsia" w:hAnsi="宋体" w:cs="宋体"/>
          <w:shd w:val="clear" w:color="auto" w:fill="FFFFFF"/>
        </w:rPr>
        <w:t>将文明旅游相关要求纳入旅游合同，导游及领队应做到全程引导和提醒，杜绝餐饮浪费，及时劝阻游客不文明行为</w:t>
      </w:r>
      <w:r>
        <w:rPr>
          <w:rFonts w:hint="eastAsia" w:hAnsi="宋体" w:cs="宋体"/>
        </w:rPr>
        <w:t>。</w:t>
      </w:r>
    </w:p>
    <w:p>
      <w:pPr>
        <w:pStyle w:val="104"/>
        <w:spacing w:before="312" w:after="312"/>
      </w:pPr>
      <w:bookmarkStart w:id="78" w:name="_Toc179450286"/>
      <w:bookmarkStart w:id="79" w:name="_Toc176637131"/>
      <w:bookmarkStart w:id="80" w:name="_Toc176772693"/>
      <w:r>
        <w:rPr>
          <w:rFonts w:hint="eastAsia"/>
        </w:rPr>
        <w:t>服务质量等级划分</w:t>
      </w:r>
      <w:bookmarkEnd w:id="78"/>
      <w:bookmarkEnd w:id="79"/>
      <w:bookmarkEnd w:id="80"/>
    </w:p>
    <w:p>
      <w:pPr>
        <w:pStyle w:val="105"/>
        <w:spacing w:before="156" w:after="156"/>
      </w:pPr>
      <w:bookmarkStart w:id="81" w:name="_Toc179450287"/>
      <w:bookmarkStart w:id="82" w:name="_Toc176772694"/>
      <w:bookmarkStart w:id="83" w:name="_Toc176637132"/>
      <w:r>
        <w:rPr>
          <w:rFonts w:hint="eastAsia"/>
        </w:rPr>
        <w:t>基本条件</w:t>
      </w:r>
      <w:bookmarkEnd w:id="81"/>
      <w:bookmarkEnd w:id="82"/>
      <w:bookmarkEnd w:id="83"/>
    </w:p>
    <w:p>
      <w:pPr>
        <w:pStyle w:val="165"/>
      </w:pPr>
      <w:r>
        <w:rPr>
          <w:rFonts w:hint="eastAsia" w:hAnsi="宋体"/>
        </w:rPr>
        <w:t>旅行社应具有独立法人资格。</w:t>
      </w:r>
    </w:p>
    <w:p>
      <w:pPr>
        <w:pStyle w:val="165"/>
      </w:pPr>
      <w:r>
        <w:rPr>
          <w:rFonts w:hint="eastAsia" w:hAnsi="宋体"/>
        </w:rPr>
        <w:t>应依法设立并合法经营两年以上。</w:t>
      </w:r>
    </w:p>
    <w:p>
      <w:pPr>
        <w:pStyle w:val="165"/>
      </w:pPr>
      <w:r>
        <w:rPr>
          <w:rFonts w:hint="eastAsia" w:hAnsi="宋体"/>
        </w:rPr>
        <w:t>无非法转让经营权或部分经营权等行为。</w:t>
      </w:r>
    </w:p>
    <w:p>
      <w:pPr>
        <w:pStyle w:val="165"/>
      </w:pPr>
      <w:r>
        <w:rPr>
          <w:rFonts w:hint="eastAsia" w:hAnsi="宋体"/>
        </w:rPr>
        <w:t>两年内无重大安全事故、无重大责任事故、无重大恶性群体纠纷事故发生。</w:t>
      </w:r>
    </w:p>
    <w:p>
      <w:pPr>
        <w:pStyle w:val="165"/>
      </w:pPr>
      <w:r>
        <w:rPr>
          <w:rFonts w:hint="eastAsia" w:hAnsi="宋体"/>
        </w:rPr>
        <w:t>从业人员应不少于5人，有固定的营业场所且营业面积不少于50</w:t>
      </w:r>
      <w:r>
        <w:rPr>
          <w:rFonts w:hint="eastAsia" w:hAnsi="宋体" w:cs="宋体"/>
        </w:rPr>
        <w:t>㎡</w:t>
      </w:r>
      <w:r>
        <w:rPr>
          <w:rFonts w:hint="eastAsia" w:hAnsi="宋体"/>
        </w:rPr>
        <w:t>。</w:t>
      </w:r>
    </w:p>
    <w:p>
      <w:pPr>
        <w:pStyle w:val="165"/>
      </w:pPr>
      <w:r>
        <w:rPr>
          <w:rFonts w:hint="eastAsia" w:hAnsi="宋体"/>
        </w:rPr>
        <w:t>在附录A营业收入、利润总额、实缴税金三项经营业绩指标中，至少有一项得分。</w:t>
      </w:r>
    </w:p>
    <w:p>
      <w:pPr>
        <w:pStyle w:val="165"/>
      </w:pPr>
      <w:r>
        <w:rPr>
          <w:rFonts w:hint="eastAsia" w:hAnsi="宋体"/>
        </w:rPr>
        <w:t>应提供普通话和至少一种以上外语或少数民族语言、地方方言的导游服务。</w:t>
      </w:r>
    </w:p>
    <w:p>
      <w:pPr>
        <w:pStyle w:val="105"/>
        <w:spacing w:before="156" w:after="156"/>
        <w:rPr>
          <w:rFonts w:hAnsi="黑体" w:cs="黑体"/>
        </w:rPr>
      </w:pPr>
      <w:bookmarkStart w:id="84" w:name="_Toc176637133"/>
      <w:bookmarkStart w:id="85" w:name="_Toc179450288"/>
      <w:bookmarkStart w:id="86" w:name="_Toc176772695"/>
      <w:r>
        <w:rPr>
          <w:rFonts w:hint="eastAsia" w:hAnsi="黑体" w:cs="黑体"/>
        </w:rPr>
        <w:t>各等级应达到的分值和要求</w:t>
      </w:r>
      <w:bookmarkEnd w:id="84"/>
      <w:bookmarkEnd w:id="85"/>
      <w:bookmarkEnd w:id="86"/>
    </w:p>
    <w:p>
      <w:pPr>
        <w:pStyle w:val="56"/>
        <w:ind w:firstLine="420"/>
      </w:pPr>
      <w:r>
        <w:rPr>
          <w:rFonts w:hint="eastAsia"/>
        </w:rPr>
        <w:t>旅行社在达到本文件5.1要求的基础上，按照附录A《旅行社服务质量等级评定评分表》中各项目的执行情况和对应分值进行综合打分，总分值为500分，各等级达标分数线：</w:t>
      </w:r>
    </w:p>
    <w:p>
      <w:pPr>
        <w:pStyle w:val="132"/>
      </w:pPr>
      <w:r>
        <w:rPr>
          <w:rFonts w:hint="eastAsia"/>
        </w:rPr>
        <w:t>5A级旅行社得分430分以上（含430分）、营业面积不少于500㎡，且在营业收入、利润总额、实缴税金三项经营业绩指标中，至少有两项得分；</w:t>
      </w:r>
    </w:p>
    <w:p>
      <w:pPr>
        <w:pStyle w:val="132"/>
      </w:pPr>
      <w:r>
        <w:rPr>
          <w:rFonts w:hint="eastAsia"/>
        </w:rPr>
        <w:t>4A级旅行社得分330分至429分、营业面积不少于250㎡，且在营业收入、利润总额、实缴税金三项经营业绩指标中，至少有两项得分；</w:t>
      </w:r>
    </w:p>
    <w:p>
      <w:pPr>
        <w:pStyle w:val="132"/>
      </w:pPr>
      <w:r>
        <w:rPr>
          <w:rFonts w:hint="eastAsia"/>
        </w:rPr>
        <w:t>3A级旅行社得分250至329分、营业面积不少于50㎡，且在营业收入、利润总额、实缴税金三项经营业绩指标中，至少有一项得分。</w:t>
      </w:r>
    </w:p>
    <w:p>
      <w:pPr>
        <w:pStyle w:val="105"/>
        <w:spacing w:before="156" w:after="156"/>
      </w:pPr>
      <w:bookmarkStart w:id="87" w:name="_Toc176637134"/>
      <w:bookmarkStart w:id="88" w:name="_Toc179450289"/>
      <w:bookmarkStart w:id="89" w:name="_Toc176772696"/>
      <w:r>
        <w:rPr>
          <w:rFonts w:hint="eastAsia"/>
        </w:rPr>
        <w:t>划分依据</w:t>
      </w:r>
      <w:bookmarkEnd w:id="87"/>
      <w:bookmarkEnd w:id="88"/>
      <w:bookmarkEnd w:id="89"/>
    </w:p>
    <w:p>
      <w:pPr>
        <w:pStyle w:val="56"/>
        <w:ind w:firstLine="420"/>
        <w:rPr>
          <w:rFonts w:hAnsi="宋体"/>
        </w:rPr>
      </w:pPr>
      <w:r>
        <w:rPr>
          <w:rFonts w:hint="eastAsia" w:hAnsi="宋体"/>
        </w:rPr>
        <w:t>各等级旅行社应满足本文件5.1条等级划分的基本条件，并达到本文件5.2条相应的分值要求。</w:t>
      </w:r>
    </w:p>
    <w:p>
      <w:pPr>
        <w:pStyle w:val="105"/>
        <w:spacing w:before="156" w:after="156"/>
      </w:pPr>
      <w:bookmarkStart w:id="90" w:name="_Toc176772697"/>
      <w:bookmarkStart w:id="91" w:name="_Toc176637135"/>
      <w:bookmarkStart w:id="92" w:name="_Toc179450290"/>
      <w:r>
        <w:rPr>
          <w:rFonts w:hint="eastAsia"/>
        </w:rPr>
        <w:t>等级划分与表示</w:t>
      </w:r>
      <w:bookmarkEnd w:id="90"/>
      <w:bookmarkEnd w:id="91"/>
      <w:bookmarkEnd w:id="92"/>
    </w:p>
    <w:p>
      <w:pPr>
        <w:pStyle w:val="56"/>
        <w:ind w:firstLine="420"/>
        <w:rPr>
          <w:rFonts w:hAnsi="宋体"/>
        </w:rPr>
      </w:pPr>
      <w:r>
        <w:rPr>
          <w:rFonts w:hint="eastAsia" w:hAnsi="宋体"/>
        </w:rPr>
        <w:t>旅行社等级划分为三级，等级以大写拉丁字母“A”为符号来表示，从高到低，分别用AAAAA表示5A级旅行社、AAAA表示4A级旅行社，AAA表示3A级旅行社。</w:t>
      </w:r>
    </w:p>
    <w:p>
      <w:pPr>
        <w:pStyle w:val="104"/>
        <w:spacing w:before="312" w:after="312"/>
      </w:pPr>
      <w:bookmarkStart w:id="93" w:name="_Toc176637136"/>
      <w:bookmarkStart w:id="94" w:name="_Toc176772698"/>
      <w:bookmarkStart w:id="95" w:name="_Toc179450291"/>
      <w:r>
        <w:t>服务质量等级划分评定</w:t>
      </w:r>
      <w:bookmarkEnd w:id="93"/>
      <w:bookmarkEnd w:id="94"/>
      <w:bookmarkEnd w:id="95"/>
    </w:p>
    <w:p>
      <w:pPr>
        <w:pStyle w:val="105"/>
        <w:spacing w:before="156" w:after="156"/>
      </w:pPr>
      <w:bookmarkStart w:id="96" w:name="_Toc179450292"/>
      <w:bookmarkStart w:id="97" w:name="_Toc176637137"/>
      <w:bookmarkStart w:id="98" w:name="_Toc176772699"/>
      <w:r>
        <w:t>评定组织</w:t>
      </w:r>
      <w:bookmarkEnd w:id="96"/>
      <w:bookmarkEnd w:id="97"/>
      <w:bookmarkEnd w:id="98"/>
    </w:p>
    <w:p>
      <w:pPr>
        <w:pStyle w:val="56"/>
        <w:ind w:firstLine="420"/>
      </w:pPr>
      <w:r>
        <w:rPr>
          <w:rFonts w:hint="eastAsia"/>
        </w:rPr>
        <w:t>旅行社服务质量要求及等级划分的评定工作由市旅游行政管理部门指导实施，市旅行社等级评定机构具体负责，其职责是依据本文件制（修）订实施细则，并全面实施评定工作。</w:t>
      </w:r>
    </w:p>
    <w:p>
      <w:pPr>
        <w:pStyle w:val="105"/>
        <w:spacing w:before="156" w:after="156"/>
      </w:pPr>
      <w:bookmarkStart w:id="99" w:name="_Toc176772700"/>
      <w:bookmarkStart w:id="100" w:name="_Toc179450293"/>
      <w:bookmarkStart w:id="101" w:name="_Toc176637138"/>
      <w:r>
        <w:rPr>
          <w:rFonts w:hint="eastAsia"/>
        </w:rPr>
        <w:t>评定流程</w:t>
      </w:r>
      <w:bookmarkEnd w:id="99"/>
      <w:bookmarkEnd w:id="100"/>
      <w:bookmarkEnd w:id="101"/>
    </w:p>
    <w:p>
      <w:pPr>
        <w:pStyle w:val="56"/>
        <w:ind w:firstLine="420"/>
        <w:rPr>
          <w:rFonts w:hAnsi="宋体"/>
        </w:rPr>
      </w:pPr>
      <w:bookmarkStart w:id="118" w:name="_GoBack"/>
      <w:bookmarkEnd w:id="118"/>
      <w:r>
        <w:rPr>
          <w:rFonts w:hint="eastAsia" w:hAnsi="宋体"/>
        </w:rPr>
        <w:t>在本市注册的具有独立法人资格的旅行社可根据自身情况自愿申请，市旅行社等级评定机构依据本文件及实施细则的规定对申请的旅行社进行等级评定。</w:t>
      </w:r>
    </w:p>
    <w:p>
      <w:pPr>
        <w:pStyle w:val="105"/>
        <w:spacing w:before="156" w:after="156"/>
      </w:pPr>
      <w:bookmarkStart w:id="102" w:name="_Toc179450294"/>
      <w:bookmarkStart w:id="103" w:name="_Toc176637139"/>
      <w:bookmarkStart w:id="104" w:name="_Toc176772701"/>
      <w:r>
        <w:rPr>
          <w:rFonts w:hint="eastAsia"/>
        </w:rPr>
        <w:t>等级管理</w:t>
      </w:r>
      <w:bookmarkEnd w:id="102"/>
      <w:bookmarkEnd w:id="103"/>
      <w:bookmarkEnd w:id="104"/>
    </w:p>
    <w:p>
      <w:pPr>
        <w:pStyle w:val="165"/>
      </w:pPr>
      <w:r>
        <w:rPr>
          <w:rFonts w:hint="eastAsia" w:hAnsi="宋体"/>
        </w:rPr>
        <w:t>等级称号有效期限为三年</w:t>
      </w:r>
      <w:bookmarkStart w:id="105" w:name="page14"/>
      <w:bookmarkEnd w:id="105"/>
      <w:r>
        <w:rPr>
          <w:rFonts w:hint="eastAsia" w:hAnsi="宋体"/>
        </w:rPr>
        <w:t>。</w:t>
      </w:r>
    </w:p>
    <w:p>
      <w:pPr>
        <w:pStyle w:val="165"/>
      </w:pPr>
      <w:r>
        <w:rPr>
          <w:rFonts w:hint="eastAsia" w:hAnsi="宋体"/>
        </w:rPr>
        <w:t>已取得等级称号的旅行社，如发生重大安全事故、重大责任事故、重大群体纠纷事件，造成恶劣影响的，市旅行社等级评定机构应在本市旅游行政管理部门认定后做出降低或取消其等级称号的处理。</w:t>
      </w:r>
    </w:p>
    <w:p>
      <w:pPr>
        <w:pStyle w:val="165"/>
        <w:rPr>
          <w:highlight w:val="none"/>
        </w:rPr>
      </w:pPr>
      <w:r>
        <w:rPr>
          <w:rFonts w:hint="eastAsia" w:hAnsi="宋体"/>
          <w:highlight w:val="none"/>
        </w:rPr>
        <w:t>等级复核工作每年一次，通过旅行社自查自纠和市旅行社等级评定机构暗访、抽查等形式进行，对于复核未达到本文件相应等级要求且</w:t>
      </w:r>
      <w:r>
        <w:rPr>
          <w:rFonts w:hint="eastAsia" w:hAnsi="宋体" w:cs="宋体"/>
          <w:highlight w:val="none"/>
        </w:rPr>
        <w:t>整改后仍未达标的旅行社，市旅行社等级评定机构应降低或取消其等级称号</w:t>
      </w:r>
      <w:r>
        <w:rPr>
          <w:rFonts w:hint="eastAsia" w:hAnsi="宋体"/>
          <w:highlight w:val="none"/>
        </w:rPr>
        <w:t>。</w:t>
      </w:r>
    </w:p>
    <w:p>
      <w:pPr>
        <w:pStyle w:val="105"/>
        <w:spacing w:before="156" w:after="156"/>
        <w:rPr>
          <w:rFonts w:hAnsi="黑体" w:cs="黑体"/>
        </w:rPr>
      </w:pPr>
      <w:bookmarkStart w:id="106" w:name="_Toc179450295"/>
      <w:bookmarkStart w:id="107" w:name="_Toc176637140"/>
      <w:bookmarkStart w:id="108" w:name="_Toc176772702"/>
      <w:r>
        <w:rPr>
          <w:rFonts w:hint="eastAsia" w:hAnsi="黑体" w:cs="黑体"/>
        </w:rPr>
        <w:t>等级的标牌和证书</w:t>
      </w:r>
      <w:bookmarkEnd w:id="106"/>
      <w:bookmarkEnd w:id="107"/>
      <w:bookmarkEnd w:id="108"/>
    </w:p>
    <w:p>
      <w:pPr>
        <w:pStyle w:val="165"/>
      </w:pPr>
      <w:r>
        <w:rPr>
          <w:rFonts w:hint="eastAsia" w:hAnsi="宋体" w:cs="宋体"/>
        </w:rPr>
        <w:t>旅行社等级标牌和证书由市旅行社等级评定机构统一管理、制作、核发。</w:t>
      </w:r>
    </w:p>
    <w:p>
      <w:pPr>
        <w:pStyle w:val="165"/>
      </w:pPr>
      <w:r>
        <w:rPr>
          <w:rFonts w:hint="eastAsia" w:hAnsi="宋体" w:cs="宋体"/>
        </w:rPr>
        <w:t>旅行社等级标牌和证书应置于旅行社营业场所的明显位置,代理机构不得使用其等级标牌。</w:t>
      </w:r>
    </w:p>
    <w:p>
      <w:pPr>
        <w:pStyle w:val="165"/>
      </w:pPr>
      <w:r>
        <w:rPr>
          <w:rFonts w:hint="eastAsia" w:hAnsi="宋体"/>
        </w:rPr>
        <w:t>被降级或取消等级称号的旅行社，市旅行社等级评定机构应更换或收回旅行社等级标牌和证书。</w:t>
      </w:r>
    </w:p>
    <w:p>
      <w:pPr>
        <w:pStyle w:val="56"/>
        <w:ind w:firstLine="420"/>
      </w:pPr>
    </w:p>
    <w:p>
      <w:pPr>
        <w:pStyle w:val="56"/>
        <w:ind w:firstLine="199" w:firstLineChars="95"/>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26"/>
    <w:p>
      <w:pPr>
        <w:pStyle w:val="198"/>
        <w:rPr>
          <w:vanish w:val="0"/>
        </w:rPr>
      </w:pPr>
      <w:bookmarkStart w:id="109" w:name="BookMark5"/>
    </w:p>
    <w:p>
      <w:pPr>
        <w:pStyle w:val="199"/>
        <w:rPr>
          <w:vanish w:val="0"/>
        </w:rPr>
      </w:pPr>
    </w:p>
    <w:p>
      <w:pPr>
        <w:pStyle w:val="76"/>
        <w:spacing w:after="156"/>
      </w:pPr>
      <w:r>
        <w:br w:type="textWrapping"/>
      </w:r>
      <w:bookmarkStart w:id="110" w:name="_Toc176637141"/>
      <w:bookmarkStart w:id="111" w:name="_Toc179450296"/>
      <w:bookmarkStart w:id="112" w:name="_Toc176772703"/>
      <w:r>
        <w:rPr>
          <w:rFonts w:hint="eastAsia"/>
        </w:rPr>
        <w:t>（规范性）</w:t>
      </w:r>
      <w:r>
        <w:br w:type="textWrapping"/>
      </w:r>
      <w:r>
        <w:t>旅行社服务质量等级评定评分表</w:t>
      </w:r>
      <w:bookmarkEnd w:id="110"/>
      <w:bookmarkEnd w:id="111"/>
      <w:bookmarkEnd w:id="112"/>
    </w:p>
    <w:p>
      <w:pPr>
        <w:pStyle w:val="56"/>
        <w:ind w:firstLine="420"/>
      </w:pPr>
      <w:r>
        <w:rPr>
          <w:rFonts w:hint="eastAsia" w:hAnsi="宋体" w:cs="宋体"/>
        </w:rPr>
        <w:t>表 A.1 规定了各分项的分值。</w:t>
      </w:r>
    </w:p>
    <w:p>
      <w:pPr>
        <w:pStyle w:val="77"/>
        <w:spacing w:before="156" w:after="156"/>
      </w:pPr>
      <w:r>
        <w:t>旅行社服务质量等级评定评分表</w:t>
      </w:r>
    </w:p>
    <w:tbl>
      <w:tblPr>
        <w:tblStyle w:val="27"/>
        <w:tblW w:w="0" w:type="auto"/>
        <w:tblInd w:w="49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2837"/>
        <w:gridCol w:w="2116"/>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92" w:type="dxa"/>
            <w:tcBorders>
              <w:top w:val="single" w:color="auto" w:sz="12" w:space="0"/>
              <w:left w:val="single" w:color="auto" w:sz="12" w:space="0"/>
              <w:bottom w:val="single" w:color="auto" w:sz="12" w:space="0"/>
              <w:right w:val="single" w:color="auto" w:sz="8" w:space="0"/>
            </w:tcBorders>
          </w:tcPr>
          <w:p>
            <w:pPr>
              <w:jc w:val="center"/>
              <w:rPr>
                <w:rFonts w:ascii="宋体" w:hAnsi="宋体" w:cs="宋体"/>
                <w:sz w:val="18"/>
                <w:szCs w:val="18"/>
              </w:rPr>
            </w:pPr>
            <w:r>
              <w:rPr>
                <w:rFonts w:hint="eastAsia" w:ascii="宋体" w:hAnsi="宋体" w:cs="宋体"/>
                <w:sz w:val="18"/>
                <w:szCs w:val="18"/>
              </w:rPr>
              <w:t>一级项目</w:t>
            </w:r>
          </w:p>
        </w:tc>
        <w:tc>
          <w:tcPr>
            <w:tcW w:w="2837" w:type="dxa"/>
            <w:tcBorders>
              <w:top w:val="single" w:color="auto" w:sz="12" w:space="0"/>
              <w:left w:val="single" w:color="auto" w:sz="8" w:space="0"/>
              <w:bottom w:val="single" w:color="auto" w:sz="12" w:space="0"/>
              <w:right w:val="single" w:color="auto" w:sz="8" w:space="0"/>
            </w:tcBorders>
          </w:tcPr>
          <w:p>
            <w:pPr>
              <w:jc w:val="center"/>
              <w:rPr>
                <w:rFonts w:ascii="宋体" w:hAnsi="宋体" w:cs="宋体"/>
                <w:sz w:val="18"/>
                <w:szCs w:val="18"/>
              </w:rPr>
            </w:pPr>
            <w:r>
              <w:rPr>
                <w:rFonts w:hint="eastAsia" w:ascii="宋体" w:hAnsi="宋体" w:cs="宋体"/>
                <w:sz w:val="18"/>
                <w:szCs w:val="18"/>
              </w:rPr>
              <w:t>二级项目</w:t>
            </w:r>
          </w:p>
        </w:tc>
        <w:tc>
          <w:tcPr>
            <w:tcW w:w="2116" w:type="dxa"/>
            <w:tcBorders>
              <w:top w:val="single" w:color="auto" w:sz="12" w:space="0"/>
              <w:left w:val="single" w:color="auto" w:sz="8" w:space="0"/>
              <w:bottom w:val="single" w:color="auto" w:sz="12"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分值（分）</w:t>
            </w:r>
          </w:p>
        </w:tc>
        <w:tc>
          <w:tcPr>
            <w:tcW w:w="2094" w:type="dxa"/>
            <w:tcBorders>
              <w:top w:val="single" w:color="auto" w:sz="12" w:space="0"/>
              <w:left w:val="single" w:color="auto" w:sz="8" w:space="0"/>
              <w:bottom w:val="single" w:color="auto" w:sz="12" w:space="0"/>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合计分值（分）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2" w:type="dxa"/>
            <w:vMerge w:val="restart"/>
            <w:tcBorders>
              <w:top w:val="single" w:color="auto" w:sz="12" w:space="0"/>
              <w:lef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基本情况</w:t>
            </w:r>
          </w:p>
        </w:tc>
        <w:tc>
          <w:tcPr>
            <w:tcW w:w="2837" w:type="dxa"/>
            <w:tcBorders>
              <w:top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开业时间</w:t>
            </w:r>
          </w:p>
        </w:tc>
        <w:tc>
          <w:tcPr>
            <w:tcW w:w="2116" w:type="dxa"/>
            <w:tcBorders>
              <w:top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2094" w:type="dxa"/>
            <w:vMerge w:val="restart"/>
            <w:tcBorders>
              <w:top w:val="single" w:color="auto" w:sz="12" w:space="0"/>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从业人员</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47</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营业收入</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12</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利润总额</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12</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实缴税金</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12</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参加行业组织情况</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6</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2" w:type="dxa"/>
            <w:vMerge w:val="restart"/>
            <w:tcBorders>
              <w:lef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服务场所及设施</w:t>
            </w: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场所稳定性</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9</w:t>
            </w:r>
          </w:p>
        </w:tc>
        <w:tc>
          <w:tcPr>
            <w:tcW w:w="2094" w:type="dxa"/>
            <w:vMerge w:val="restart"/>
            <w:tcBorders>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使用面积</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9</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服务区域</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20</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2" w:type="dxa"/>
            <w:vMerge w:val="restart"/>
            <w:tcBorders>
              <w:lef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服务项目</w:t>
            </w: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团队旅游服务</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31</w:t>
            </w:r>
          </w:p>
        </w:tc>
        <w:tc>
          <w:tcPr>
            <w:tcW w:w="2094" w:type="dxa"/>
            <w:vMerge w:val="restart"/>
            <w:tcBorders>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专项旅游服务</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14</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委托代办</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10</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服务语种</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10</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服务礼仪</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6</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2" w:type="dxa"/>
            <w:vMerge w:val="restart"/>
            <w:tcBorders>
              <w:lef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经营管理</w:t>
            </w: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财务管理</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6</w:t>
            </w:r>
          </w:p>
        </w:tc>
        <w:tc>
          <w:tcPr>
            <w:tcW w:w="2094" w:type="dxa"/>
            <w:vMerge w:val="restart"/>
            <w:tcBorders>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人员管理</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14</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流程管理</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6</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形象管理</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38</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档案管理</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文件管理</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5</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2" w:type="dxa"/>
            <w:vMerge w:val="restart"/>
            <w:tcBorders>
              <w:lef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营销推广</w:t>
            </w: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服务渠道</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25</w:t>
            </w:r>
          </w:p>
        </w:tc>
        <w:tc>
          <w:tcPr>
            <w:tcW w:w="2094" w:type="dxa"/>
            <w:vMerge w:val="restart"/>
            <w:tcBorders>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7" w:type="dxa"/>
            <w:shd w:val="clear" w:color="auto" w:fill="auto"/>
            <w:vAlign w:val="center"/>
          </w:tcPr>
          <w:p>
            <w:pPr>
              <w:jc w:val="center"/>
              <w:rPr>
                <w:rFonts w:ascii="宋体" w:hAnsi="宋体" w:cs="宋体"/>
                <w:sz w:val="18"/>
                <w:szCs w:val="18"/>
              </w:rPr>
            </w:pPr>
            <w:r>
              <w:rPr>
                <w:rFonts w:hint="eastAsia" w:ascii="宋体" w:hAnsi="宋体" w:cs="宋体"/>
                <w:sz w:val="18"/>
                <w:szCs w:val="18"/>
              </w:rPr>
              <w:t>广告促销</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9</w:t>
            </w:r>
          </w:p>
        </w:tc>
        <w:tc>
          <w:tcPr>
            <w:tcW w:w="0" w:type="auto"/>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bl>
    <w:p>
      <w:pPr>
        <w:pStyle w:val="56"/>
        <w:pageBreakBefore/>
        <w:tabs>
          <w:tab w:val="center" w:pos="4677"/>
        </w:tabs>
        <w:spacing w:before="156" w:beforeLines="50" w:after="156" w:afterLines="50"/>
        <w:ind w:firstLine="0" w:firstLineChars="0"/>
        <w:rPr>
          <w:rFonts w:ascii="黑体" w:hAnsi="黑体" w:eastAsia="黑体"/>
        </w:rPr>
      </w:pPr>
      <w:r>
        <w:rPr>
          <w:rFonts w:ascii="黑体" w:hAnsi="黑体" w:eastAsia="黑体"/>
        </w:rPr>
        <w:tab/>
      </w:r>
      <w:r>
        <w:rPr>
          <w:rFonts w:hint="eastAsia" w:ascii="黑体" w:hAnsi="黑体" w:eastAsia="黑体"/>
        </w:rPr>
        <w:t>表A.1  旅行社服务质量等级评定评分表</w:t>
      </w:r>
      <w:r>
        <w:rPr>
          <w:rFonts w:hint="eastAsia" w:hAnsi="宋体"/>
        </w:rPr>
        <w:t>（续）</w:t>
      </w:r>
    </w:p>
    <w:tbl>
      <w:tblPr>
        <w:tblStyle w:val="27"/>
        <w:tblW w:w="0" w:type="auto"/>
        <w:tblInd w:w="49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2835"/>
        <w:gridCol w:w="2116"/>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94" w:type="dxa"/>
            <w:tcBorders>
              <w:top w:val="single" w:color="auto" w:sz="12" w:space="0"/>
              <w:left w:val="single" w:color="auto" w:sz="12" w:space="0"/>
              <w:bottom w:val="single" w:color="auto" w:sz="12" w:space="0"/>
              <w:right w:val="single" w:color="auto" w:sz="8" w:space="0"/>
            </w:tcBorders>
          </w:tcPr>
          <w:p>
            <w:pPr>
              <w:jc w:val="center"/>
              <w:rPr>
                <w:rFonts w:ascii="宋体" w:hAnsi="宋体" w:cs="宋体"/>
                <w:sz w:val="18"/>
                <w:szCs w:val="18"/>
              </w:rPr>
            </w:pPr>
            <w:r>
              <w:rPr>
                <w:rFonts w:hint="eastAsia" w:ascii="宋体" w:hAnsi="宋体" w:cs="宋体"/>
                <w:sz w:val="18"/>
                <w:szCs w:val="18"/>
              </w:rPr>
              <w:t>一级项目</w:t>
            </w:r>
          </w:p>
        </w:tc>
        <w:tc>
          <w:tcPr>
            <w:tcW w:w="2835" w:type="dxa"/>
            <w:tcBorders>
              <w:top w:val="single" w:color="auto" w:sz="12" w:space="0"/>
              <w:left w:val="single" w:color="auto" w:sz="8" w:space="0"/>
              <w:bottom w:val="single" w:color="auto" w:sz="12" w:space="0"/>
              <w:right w:val="single" w:color="auto" w:sz="8" w:space="0"/>
            </w:tcBorders>
          </w:tcPr>
          <w:p>
            <w:pPr>
              <w:jc w:val="center"/>
              <w:rPr>
                <w:rFonts w:ascii="宋体" w:hAnsi="宋体" w:cs="宋体"/>
                <w:sz w:val="18"/>
                <w:szCs w:val="18"/>
              </w:rPr>
            </w:pPr>
            <w:r>
              <w:rPr>
                <w:rFonts w:hint="eastAsia" w:ascii="宋体" w:hAnsi="宋体" w:cs="宋体"/>
                <w:sz w:val="18"/>
                <w:szCs w:val="18"/>
              </w:rPr>
              <w:t>二级项目</w:t>
            </w:r>
          </w:p>
        </w:tc>
        <w:tc>
          <w:tcPr>
            <w:tcW w:w="2116" w:type="dxa"/>
            <w:tcBorders>
              <w:top w:val="single" w:color="auto" w:sz="12" w:space="0"/>
              <w:left w:val="single" w:color="auto" w:sz="8" w:space="0"/>
              <w:bottom w:val="single" w:color="auto" w:sz="12"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分值（分）</w:t>
            </w:r>
          </w:p>
        </w:tc>
        <w:tc>
          <w:tcPr>
            <w:tcW w:w="2094" w:type="dxa"/>
            <w:tcBorders>
              <w:top w:val="single" w:color="auto" w:sz="12" w:space="0"/>
              <w:left w:val="single" w:color="auto" w:sz="8" w:space="0"/>
              <w:bottom w:val="single" w:color="auto" w:sz="12" w:space="0"/>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合计分值（分）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restart"/>
            <w:tcBorders>
              <w:top w:val="single" w:color="auto" w:sz="12" w:space="0"/>
              <w:left w:val="single" w:color="auto" w:sz="12" w:space="0"/>
              <w:bottom w:val="single" w:color="auto" w:sz="8"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质量管理</w:t>
            </w:r>
          </w:p>
        </w:tc>
        <w:tc>
          <w:tcPr>
            <w:tcW w:w="2835" w:type="dxa"/>
            <w:tcBorders>
              <w:top w:val="single" w:color="auto" w:sz="12"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危机管理</w:t>
            </w:r>
          </w:p>
        </w:tc>
        <w:tc>
          <w:tcPr>
            <w:tcW w:w="2116" w:type="dxa"/>
            <w:tcBorders>
              <w:top w:val="single" w:color="auto" w:sz="12"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2094" w:type="dxa"/>
            <w:vMerge w:val="restart"/>
            <w:tcBorders>
              <w:top w:val="single" w:color="auto" w:sz="12" w:space="0"/>
              <w:left w:val="single" w:color="auto" w:sz="8" w:space="0"/>
              <w:bottom w:val="single" w:color="auto" w:sz="8" w:space="0"/>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8" w:space="0"/>
              <w:left w:val="single" w:color="auto" w:sz="12" w:space="0"/>
              <w:bottom w:val="single" w:color="auto" w:sz="8" w:space="0"/>
              <w:right w:val="single" w:color="auto" w:sz="8" w:space="0"/>
            </w:tcBorders>
            <w:shd w:val="clear" w:color="auto" w:fill="auto"/>
            <w:vAlign w:val="center"/>
          </w:tcPr>
          <w:p>
            <w:pPr>
              <w:widowControl/>
              <w:adjustRightInd/>
              <w:spacing w:line="240" w:lineRule="auto"/>
              <w:jc w:val="left"/>
              <w:rPr>
                <w:rFonts w:ascii="宋体" w:hAnsi="宋体" w:cs="宋体"/>
                <w:sz w:val="18"/>
                <w:szCs w:val="18"/>
              </w:rPr>
            </w:pPr>
          </w:p>
        </w:tc>
        <w:tc>
          <w:tcPr>
            <w:tcW w:w="283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安全管理</w:t>
            </w:r>
          </w:p>
        </w:tc>
        <w:tc>
          <w:tcPr>
            <w:tcW w:w="211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49</w:t>
            </w:r>
          </w:p>
        </w:tc>
        <w:tc>
          <w:tcPr>
            <w:tcW w:w="0" w:type="auto"/>
            <w:vMerge w:val="continue"/>
            <w:tcBorders>
              <w:top w:val="single" w:color="auto" w:sz="8" w:space="0"/>
              <w:left w:val="single" w:color="auto" w:sz="8" w:space="0"/>
              <w:bottom w:val="single" w:color="auto" w:sz="8" w:space="0"/>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8" w:space="0"/>
              <w:left w:val="single" w:color="auto" w:sz="12" w:space="0"/>
              <w:bottom w:val="single" w:color="auto" w:sz="8" w:space="0"/>
              <w:right w:val="single" w:color="auto" w:sz="8" w:space="0"/>
            </w:tcBorders>
            <w:shd w:val="clear" w:color="auto" w:fill="auto"/>
            <w:vAlign w:val="center"/>
          </w:tcPr>
          <w:p>
            <w:pPr>
              <w:widowControl/>
              <w:adjustRightInd/>
              <w:spacing w:line="240" w:lineRule="auto"/>
              <w:jc w:val="left"/>
              <w:rPr>
                <w:rFonts w:ascii="宋体" w:hAnsi="宋体" w:cs="宋体"/>
                <w:sz w:val="18"/>
                <w:szCs w:val="18"/>
              </w:rPr>
            </w:pPr>
          </w:p>
        </w:tc>
        <w:tc>
          <w:tcPr>
            <w:tcW w:w="283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投诉管理</w:t>
            </w:r>
          </w:p>
        </w:tc>
        <w:tc>
          <w:tcPr>
            <w:tcW w:w="211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18</w:t>
            </w:r>
          </w:p>
        </w:tc>
        <w:tc>
          <w:tcPr>
            <w:tcW w:w="0" w:type="auto"/>
            <w:vMerge w:val="continue"/>
            <w:tcBorders>
              <w:top w:val="single" w:color="auto" w:sz="8" w:space="0"/>
              <w:left w:val="single" w:color="auto" w:sz="8" w:space="0"/>
              <w:bottom w:val="single" w:color="auto" w:sz="8" w:space="0"/>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restart"/>
            <w:tcBorders>
              <w:top w:val="single" w:color="auto" w:sz="8" w:space="0"/>
              <w:left w:val="single" w:color="auto" w:sz="12" w:space="0"/>
              <w:bottom w:val="single" w:color="auto" w:sz="4"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商业信用与</w:t>
            </w:r>
          </w:p>
          <w:p>
            <w:pPr>
              <w:jc w:val="center"/>
              <w:rPr>
                <w:rFonts w:ascii="宋体" w:hAnsi="宋体" w:cs="宋体"/>
                <w:sz w:val="18"/>
                <w:szCs w:val="18"/>
              </w:rPr>
            </w:pPr>
            <w:r>
              <w:rPr>
                <w:rFonts w:hint="eastAsia" w:ascii="宋体" w:hAnsi="宋体" w:cs="宋体"/>
                <w:sz w:val="18"/>
                <w:szCs w:val="18"/>
              </w:rPr>
              <w:t>社会声誉</w:t>
            </w:r>
          </w:p>
        </w:tc>
        <w:tc>
          <w:tcPr>
            <w:tcW w:w="2835" w:type="dxa"/>
            <w:tcBorders>
              <w:top w:val="single" w:color="auto" w:sz="8" w:space="0"/>
              <w:left w:val="single" w:color="auto" w:sz="8" w:space="0"/>
              <w:bottom w:val="single" w:color="auto" w:sz="4"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与供应商关系</w:t>
            </w:r>
          </w:p>
        </w:tc>
        <w:tc>
          <w:tcPr>
            <w:tcW w:w="2116" w:type="dxa"/>
            <w:tcBorders>
              <w:top w:val="single" w:color="auto" w:sz="8" w:space="0"/>
              <w:left w:val="single" w:color="auto" w:sz="8" w:space="0"/>
              <w:bottom w:val="single" w:color="auto" w:sz="4" w:space="0"/>
              <w:right w:val="single" w:color="auto"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6</w:t>
            </w:r>
          </w:p>
        </w:tc>
        <w:tc>
          <w:tcPr>
            <w:tcW w:w="2094" w:type="dxa"/>
            <w:vMerge w:val="restart"/>
            <w:tcBorders>
              <w:top w:val="single" w:color="auto" w:sz="8" w:space="0"/>
              <w:left w:val="single" w:color="auto" w:sz="8" w:space="0"/>
              <w:bottom w:val="single" w:color="auto" w:sz="4" w:space="0"/>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continue"/>
            <w:tcBorders>
              <w:top w:val="single" w:color="auto" w:sz="4" w:space="0"/>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与同业合作商关系</w:t>
            </w:r>
          </w:p>
        </w:tc>
        <w:tc>
          <w:tcPr>
            <w:tcW w:w="2116"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6</w:t>
            </w:r>
          </w:p>
        </w:tc>
        <w:tc>
          <w:tcPr>
            <w:tcW w:w="2094" w:type="dxa"/>
            <w:vMerge w:val="continue"/>
            <w:tcBorders>
              <w:top w:val="single" w:color="auto" w:sz="4" w:space="0"/>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5" w:type="dxa"/>
            <w:shd w:val="clear" w:color="auto" w:fill="auto"/>
            <w:vAlign w:val="center"/>
          </w:tcPr>
          <w:p>
            <w:pPr>
              <w:jc w:val="center"/>
              <w:rPr>
                <w:rFonts w:ascii="宋体" w:hAnsi="宋体" w:cs="宋体"/>
                <w:sz w:val="18"/>
                <w:szCs w:val="18"/>
              </w:rPr>
            </w:pPr>
            <w:r>
              <w:rPr>
                <w:rFonts w:hint="eastAsia" w:ascii="宋体" w:hAnsi="宋体" w:cs="宋体"/>
                <w:sz w:val="18"/>
                <w:szCs w:val="18"/>
              </w:rPr>
              <w:t>与旅游者关系</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44</w:t>
            </w:r>
          </w:p>
        </w:tc>
        <w:tc>
          <w:tcPr>
            <w:tcW w:w="2094" w:type="dxa"/>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5" w:type="dxa"/>
            <w:shd w:val="clear" w:color="auto" w:fill="auto"/>
            <w:vAlign w:val="center"/>
          </w:tcPr>
          <w:p>
            <w:pPr>
              <w:jc w:val="center"/>
              <w:rPr>
                <w:rFonts w:ascii="宋体" w:hAnsi="宋体" w:cs="宋体"/>
                <w:sz w:val="18"/>
                <w:szCs w:val="18"/>
              </w:rPr>
            </w:pPr>
            <w:r>
              <w:rPr>
                <w:rFonts w:hint="eastAsia" w:ascii="宋体" w:hAnsi="宋体" w:cs="宋体"/>
                <w:sz w:val="18"/>
                <w:szCs w:val="18"/>
              </w:rPr>
              <w:t>与公众关系</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7</w:t>
            </w:r>
          </w:p>
        </w:tc>
        <w:tc>
          <w:tcPr>
            <w:tcW w:w="2094" w:type="dxa"/>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restart"/>
            <w:tcBorders>
              <w:lef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其他</w:t>
            </w:r>
          </w:p>
        </w:tc>
        <w:tc>
          <w:tcPr>
            <w:tcW w:w="2835" w:type="dxa"/>
            <w:shd w:val="clear" w:color="auto" w:fill="auto"/>
            <w:vAlign w:val="center"/>
          </w:tcPr>
          <w:p>
            <w:pPr>
              <w:jc w:val="center"/>
              <w:rPr>
                <w:rFonts w:ascii="宋体" w:hAnsi="宋体" w:cs="宋体"/>
                <w:sz w:val="18"/>
                <w:szCs w:val="18"/>
              </w:rPr>
            </w:pPr>
            <w:r>
              <w:rPr>
                <w:rFonts w:hint="eastAsia" w:ascii="宋体" w:hAnsi="宋体" w:cs="宋体"/>
                <w:sz w:val="18"/>
                <w:szCs w:val="18"/>
              </w:rPr>
              <w:t>旅行社等级评定内审制度</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9</w:t>
            </w:r>
          </w:p>
        </w:tc>
        <w:tc>
          <w:tcPr>
            <w:tcW w:w="2094" w:type="dxa"/>
            <w:vMerge w:val="restart"/>
            <w:tcBorders>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5" w:type="dxa"/>
            <w:shd w:val="clear" w:color="auto" w:fill="auto"/>
            <w:vAlign w:val="center"/>
          </w:tcPr>
          <w:p>
            <w:pPr>
              <w:jc w:val="center"/>
              <w:rPr>
                <w:rFonts w:ascii="宋体" w:hAnsi="宋体" w:cs="宋体"/>
                <w:sz w:val="18"/>
                <w:szCs w:val="18"/>
              </w:rPr>
            </w:pPr>
            <w:r>
              <w:rPr>
                <w:rFonts w:hint="eastAsia" w:ascii="宋体" w:hAnsi="宋体" w:cs="宋体"/>
                <w:sz w:val="18"/>
                <w:szCs w:val="18"/>
              </w:rPr>
              <w:t>创建文明旅游</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9</w:t>
            </w:r>
          </w:p>
        </w:tc>
        <w:tc>
          <w:tcPr>
            <w:tcW w:w="2094" w:type="dxa"/>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5" w:type="dxa"/>
            <w:shd w:val="clear" w:color="auto" w:fill="auto"/>
            <w:vAlign w:val="center"/>
          </w:tcPr>
          <w:p>
            <w:pPr>
              <w:jc w:val="center"/>
              <w:rPr>
                <w:rFonts w:ascii="宋体" w:hAnsi="宋体" w:cs="宋体"/>
                <w:sz w:val="18"/>
                <w:szCs w:val="18"/>
              </w:rPr>
            </w:pPr>
            <w:r>
              <w:rPr>
                <w:rFonts w:hint="eastAsia" w:ascii="宋体" w:hAnsi="宋体" w:cs="宋体"/>
                <w:sz w:val="18"/>
                <w:szCs w:val="18"/>
              </w:rPr>
              <w:t>积极参与市与国家</w:t>
            </w:r>
          </w:p>
          <w:p>
            <w:pPr>
              <w:jc w:val="center"/>
              <w:rPr>
                <w:rFonts w:ascii="宋体" w:hAnsi="宋体" w:cs="宋体"/>
                <w:sz w:val="18"/>
                <w:szCs w:val="18"/>
              </w:rPr>
            </w:pPr>
            <w:r>
              <w:rPr>
                <w:rFonts w:hint="eastAsia" w:ascii="宋体" w:hAnsi="宋体" w:cs="宋体"/>
                <w:sz w:val="18"/>
                <w:szCs w:val="18"/>
              </w:rPr>
              <w:t>旅游标准化建设</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5</w:t>
            </w:r>
          </w:p>
        </w:tc>
        <w:tc>
          <w:tcPr>
            <w:tcW w:w="2094" w:type="dxa"/>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94" w:type="dxa"/>
            <w:vMerge w:val="continue"/>
            <w:tcBorders>
              <w:lef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c>
          <w:tcPr>
            <w:tcW w:w="2835" w:type="dxa"/>
            <w:shd w:val="clear" w:color="auto" w:fill="auto"/>
            <w:vAlign w:val="center"/>
          </w:tcPr>
          <w:p>
            <w:pPr>
              <w:jc w:val="center"/>
              <w:rPr>
                <w:rFonts w:ascii="宋体" w:hAnsi="宋体" w:cs="宋体"/>
                <w:sz w:val="18"/>
                <w:szCs w:val="18"/>
              </w:rPr>
            </w:pPr>
            <w:r>
              <w:rPr>
                <w:rFonts w:hint="eastAsia" w:ascii="宋体" w:hAnsi="宋体" w:cs="宋体"/>
                <w:sz w:val="18"/>
                <w:szCs w:val="18"/>
              </w:rPr>
              <w:t>企业荣誉</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22</w:t>
            </w:r>
          </w:p>
        </w:tc>
        <w:tc>
          <w:tcPr>
            <w:tcW w:w="2094" w:type="dxa"/>
            <w:vMerge w:val="continue"/>
            <w:tcBorders>
              <w:right w:val="single" w:color="auto" w:sz="12" w:space="0"/>
            </w:tcBorders>
            <w:shd w:val="clear" w:color="auto" w:fill="auto"/>
            <w:vAlign w:val="center"/>
          </w:tcPr>
          <w:p>
            <w:pPr>
              <w:widowControl/>
              <w:adjustRightInd/>
              <w:spacing w:line="240" w:lineRule="auto"/>
              <w:jc w:val="lef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629" w:type="dxa"/>
            <w:gridSpan w:val="2"/>
            <w:tcBorders>
              <w:lef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总分值合计</w:t>
            </w:r>
          </w:p>
        </w:tc>
        <w:tc>
          <w:tcPr>
            <w:tcW w:w="2116" w:type="dxa"/>
            <w:shd w:val="clear" w:color="auto" w:fill="auto"/>
            <w:vAlign w:val="center"/>
          </w:tcPr>
          <w:p>
            <w:pPr>
              <w:jc w:val="center"/>
              <w:rPr>
                <w:rFonts w:ascii="宋体" w:hAnsi="宋体" w:cs="宋体"/>
                <w:sz w:val="18"/>
                <w:szCs w:val="18"/>
              </w:rPr>
            </w:pPr>
            <w:r>
              <w:rPr>
                <w:rFonts w:hint="eastAsia" w:ascii="宋体" w:hAnsi="宋体" w:cs="宋体"/>
                <w:sz w:val="18"/>
                <w:szCs w:val="18"/>
              </w:rPr>
              <w:t>500</w:t>
            </w:r>
          </w:p>
        </w:tc>
        <w:tc>
          <w:tcPr>
            <w:tcW w:w="2094" w:type="dxa"/>
            <w:tcBorders>
              <w:right w:val="single" w:color="auto" w:sz="12"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500</w:t>
            </w:r>
          </w:p>
        </w:tc>
      </w:tr>
    </w:tbl>
    <w:p>
      <w:pPr>
        <w:pStyle w:val="56"/>
        <w:ind w:firstLine="420"/>
      </w:pPr>
    </w:p>
    <w:p>
      <w:pPr>
        <w:pStyle w:val="56"/>
        <w:ind w:firstLine="420"/>
      </w:pPr>
    </w:p>
    <w:p>
      <w:pPr>
        <w:pStyle w:val="56"/>
        <w:ind w:firstLine="420"/>
      </w:pPr>
    </w:p>
    <w:bookmarkEnd w:id="109"/>
    <w:p>
      <w:pPr>
        <w:pStyle w:val="56"/>
        <w:ind w:firstLine="420"/>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pPr>
      <w:bookmarkStart w:id="113" w:name="BookMark6"/>
    </w:p>
    <w:p>
      <w:pPr>
        <w:pStyle w:val="63"/>
        <w:spacing w:after="156"/>
      </w:pPr>
      <w:bookmarkStart w:id="114" w:name="_Toc176772704"/>
      <w:bookmarkStart w:id="115" w:name="_Toc176637142"/>
      <w:bookmarkStart w:id="116" w:name="_Toc179450297"/>
      <w:r>
        <w:rPr>
          <w:rFonts w:hint="eastAsia"/>
          <w:spacing w:val="105"/>
        </w:rPr>
        <w:t>参考文</w:t>
      </w:r>
      <w:r>
        <w:rPr>
          <w:rFonts w:hint="eastAsia"/>
        </w:rPr>
        <w:t>献</w:t>
      </w:r>
      <w:bookmarkEnd w:id="114"/>
      <w:bookmarkEnd w:id="115"/>
      <w:bookmarkEnd w:id="116"/>
    </w:p>
    <w:p>
      <w:pPr>
        <w:pStyle w:val="56"/>
        <w:ind w:firstLine="409" w:firstLineChars="195"/>
      </w:pPr>
      <w:r>
        <w:rPr>
          <w:rFonts w:hint="eastAsia"/>
        </w:rPr>
        <w:t>[1]　GB/T 31380—2015  旅行社等级的划分与评定</w:t>
      </w:r>
    </w:p>
    <w:p>
      <w:pPr>
        <w:pStyle w:val="231"/>
      </w:pPr>
      <w:r>
        <w:rPr>
          <w:rFonts w:hint="eastAsia"/>
        </w:rPr>
        <w:t>[2]　</w:t>
      </w:r>
      <w:r>
        <w:rPr>
          <w:rFonts w:hint="eastAsia"/>
          <w:szCs w:val="21"/>
        </w:rPr>
        <w:t>GB/T 31386  旅行社出境旅游服务规范</w:t>
      </w:r>
    </w:p>
    <w:p>
      <w:pPr>
        <w:pStyle w:val="56"/>
        <w:ind w:firstLine="420"/>
      </w:pPr>
      <w:r>
        <w:t>[3]　</w:t>
      </w:r>
      <w:r>
        <w:rPr>
          <w:rFonts w:hAnsi="宋体"/>
        </w:rPr>
        <w:t xml:space="preserve">LB/T 004  </w:t>
      </w:r>
      <w:r>
        <w:rPr>
          <w:rFonts w:hint="eastAsia" w:hAnsi="宋体"/>
        </w:rPr>
        <w:t>旅行社国内旅游服务规范</w:t>
      </w:r>
    </w:p>
    <w:p>
      <w:pPr>
        <w:pStyle w:val="56"/>
        <w:ind w:firstLine="420"/>
      </w:pPr>
    </w:p>
    <w:bookmarkEnd w:id="113"/>
    <w:p>
      <w:pPr>
        <w:pStyle w:val="56"/>
        <w:ind w:firstLine="0" w:firstLineChars="0"/>
        <w:jc w:val="center"/>
      </w:pPr>
      <w:bookmarkStart w:id="117"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1">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17"/>
    </w:p>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00"/>
    <w:family w:val="auto"/>
    <w:pitch w:val="default"/>
    <w:sig w:usb0="00000000" w:usb1="00000000" w:usb2="00000000" w:usb3="00000000" w:csb0="00000000" w:csb1="00000000"/>
  </w:font>
  <w:font w:name="等线 Light">
    <w:altName w:val="仿宋"/>
    <w:panose1 w:val="00000000000000000000"/>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31/T 477—2024</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31/T 477—2024</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31/T 477—2024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31/T 477—2024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31/T 477—XXXX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31/T 477—2024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31/T 477—2024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31/T 477—2024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31/T 477—2024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31/T 477—2024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documentProtection w:edit="forms" w:enforcement="1" w:cryptProviderType="rsaAES" w:cryptAlgorithmClass="hash" w:cryptAlgorithmType="typeAny" w:cryptAlgorithmSid="14" w:cryptSpinCount="100000" w:hash="V6+Rci37g3F8vtKtgoy5gWk3SO8bMnUixrzm2j5f9sldCtsi/RkawCxO8BCGbjqTyysXfB20hbTQ5/sdLdE3iQ==" w:salt="lgAIlZ150J8TTvMrWgJ3Zg=="/>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kYmIyYmU4ZWFiZWM2ZjRiMjBjY2Q0OTdmM2Y3ZjIifQ=="/>
  </w:docVars>
  <w:rsids>
    <w:rsidRoot w:val="00445DE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4CD3"/>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1C5"/>
    <w:rsid w:val="0006357D"/>
    <w:rsid w:val="000659EA"/>
    <w:rsid w:val="00067075"/>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2735"/>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85865"/>
    <w:rsid w:val="00292D60"/>
    <w:rsid w:val="00293B30"/>
    <w:rsid w:val="00294D34"/>
    <w:rsid w:val="00294E3B"/>
    <w:rsid w:val="00296193"/>
    <w:rsid w:val="00296C66"/>
    <w:rsid w:val="00296EBE"/>
    <w:rsid w:val="002974E3"/>
    <w:rsid w:val="002A084B"/>
    <w:rsid w:val="002A11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1D3"/>
    <w:rsid w:val="00302F5F"/>
    <w:rsid w:val="0030441D"/>
    <w:rsid w:val="00306063"/>
    <w:rsid w:val="00313B85"/>
    <w:rsid w:val="00317988"/>
    <w:rsid w:val="003221B4"/>
    <w:rsid w:val="0032258D"/>
    <w:rsid w:val="00322E62"/>
    <w:rsid w:val="0032389C"/>
    <w:rsid w:val="00324D13"/>
    <w:rsid w:val="00324D2A"/>
    <w:rsid w:val="00324EDD"/>
    <w:rsid w:val="003331E4"/>
    <w:rsid w:val="00336C64"/>
    <w:rsid w:val="00337162"/>
    <w:rsid w:val="0034194F"/>
    <w:rsid w:val="00344605"/>
    <w:rsid w:val="003474AA"/>
    <w:rsid w:val="00350D1D"/>
    <w:rsid w:val="00352800"/>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6D0"/>
    <w:rsid w:val="003B09AD"/>
    <w:rsid w:val="003B1F18"/>
    <w:rsid w:val="003B5BF0"/>
    <w:rsid w:val="003B60BF"/>
    <w:rsid w:val="003B63AD"/>
    <w:rsid w:val="003B6BE3"/>
    <w:rsid w:val="003C010C"/>
    <w:rsid w:val="003C0A6C"/>
    <w:rsid w:val="003C14F8"/>
    <w:rsid w:val="003C5A43"/>
    <w:rsid w:val="003D0519"/>
    <w:rsid w:val="003D0FF6"/>
    <w:rsid w:val="003D262C"/>
    <w:rsid w:val="003D6D61"/>
    <w:rsid w:val="003D77D2"/>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5DE0"/>
    <w:rsid w:val="004467FB"/>
    <w:rsid w:val="00452D6B"/>
    <w:rsid w:val="00454484"/>
    <w:rsid w:val="0045517B"/>
    <w:rsid w:val="00456AFF"/>
    <w:rsid w:val="00463B77"/>
    <w:rsid w:val="00463C7B"/>
    <w:rsid w:val="004644A6"/>
    <w:rsid w:val="004659BD"/>
    <w:rsid w:val="0046686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7F4"/>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7DC"/>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426C"/>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EAB"/>
    <w:rsid w:val="00651ACB"/>
    <w:rsid w:val="00651C47"/>
    <w:rsid w:val="00652AB2"/>
    <w:rsid w:val="00653FED"/>
    <w:rsid w:val="00654693"/>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F6E"/>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6471"/>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7C6"/>
    <w:rsid w:val="00765C43"/>
    <w:rsid w:val="00765EFB"/>
    <w:rsid w:val="007671CA"/>
    <w:rsid w:val="00767C61"/>
    <w:rsid w:val="0077008A"/>
    <w:rsid w:val="00773C1F"/>
    <w:rsid w:val="00774DA4"/>
    <w:rsid w:val="00776599"/>
    <w:rsid w:val="0078114B"/>
    <w:rsid w:val="00781DD2"/>
    <w:rsid w:val="007824C4"/>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A43"/>
    <w:rsid w:val="007C2D89"/>
    <w:rsid w:val="007C4593"/>
    <w:rsid w:val="007C5309"/>
    <w:rsid w:val="007C6069"/>
    <w:rsid w:val="007D06C4"/>
    <w:rsid w:val="007D1352"/>
    <w:rsid w:val="007D2508"/>
    <w:rsid w:val="007D346A"/>
    <w:rsid w:val="007D6518"/>
    <w:rsid w:val="007D76BD"/>
    <w:rsid w:val="007E0BF1"/>
    <w:rsid w:val="007F0ED8"/>
    <w:rsid w:val="007F0F63"/>
    <w:rsid w:val="007F2E4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E95"/>
    <w:rsid w:val="0082512C"/>
    <w:rsid w:val="00825138"/>
    <w:rsid w:val="008251C4"/>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1A1E"/>
    <w:rsid w:val="008B3615"/>
    <w:rsid w:val="008B4AC4"/>
    <w:rsid w:val="008B50C8"/>
    <w:rsid w:val="008B5281"/>
    <w:rsid w:val="008B7CB0"/>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273BE"/>
    <w:rsid w:val="009305B5"/>
    <w:rsid w:val="009373EE"/>
    <w:rsid w:val="009429D5"/>
    <w:rsid w:val="00942BF1"/>
    <w:rsid w:val="00945180"/>
    <w:rsid w:val="00945428"/>
    <w:rsid w:val="0094607B"/>
    <w:rsid w:val="0094678A"/>
    <w:rsid w:val="00953604"/>
    <w:rsid w:val="0095496B"/>
    <w:rsid w:val="009610DC"/>
    <w:rsid w:val="00961490"/>
    <w:rsid w:val="0096381A"/>
    <w:rsid w:val="00965E04"/>
    <w:rsid w:val="009674AD"/>
    <w:rsid w:val="00970CDC"/>
    <w:rsid w:val="00970EA5"/>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67D"/>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42D"/>
    <w:rsid w:val="00A06A6B"/>
    <w:rsid w:val="00A07E47"/>
    <w:rsid w:val="00A129D0"/>
    <w:rsid w:val="00A12C33"/>
    <w:rsid w:val="00A138BA"/>
    <w:rsid w:val="00A13BE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B48"/>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8B3"/>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6EB"/>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6927"/>
    <w:rsid w:val="00BF74A6"/>
    <w:rsid w:val="00C013AD"/>
    <w:rsid w:val="00C04904"/>
    <w:rsid w:val="00C056B3"/>
    <w:rsid w:val="00C103E5"/>
    <w:rsid w:val="00C104CD"/>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76BA"/>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4ED"/>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77ED6"/>
    <w:rsid w:val="00D801CD"/>
    <w:rsid w:val="00D84941"/>
    <w:rsid w:val="00D84FA1"/>
    <w:rsid w:val="00D851F0"/>
    <w:rsid w:val="00D85AB9"/>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62"/>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1CAE"/>
    <w:rsid w:val="00E02DFB"/>
    <w:rsid w:val="00E030F9"/>
    <w:rsid w:val="00E0311A"/>
    <w:rsid w:val="00E03138"/>
    <w:rsid w:val="00E06404"/>
    <w:rsid w:val="00E065D2"/>
    <w:rsid w:val="00E066C6"/>
    <w:rsid w:val="00E11A85"/>
    <w:rsid w:val="00E12495"/>
    <w:rsid w:val="00E15CCD"/>
    <w:rsid w:val="00E202EF"/>
    <w:rsid w:val="00E210B5"/>
    <w:rsid w:val="00E21A1D"/>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4F1"/>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160"/>
    <w:rsid w:val="00E85BFF"/>
    <w:rsid w:val="00E90391"/>
    <w:rsid w:val="00E906C2"/>
    <w:rsid w:val="00E9311F"/>
    <w:rsid w:val="00E934D1"/>
    <w:rsid w:val="00E94AF0"/>
    <w:rsid w:val="00E94D8C"/>
    <w:rsid w:val="00E95D13"/>
    <w:rsid w:val="00E95DD3"/>
    <w:rsid w:val="00E96387"/>
    <w:rsid w:val="00E969D5"/>
    <w:rsid w:val="00EA58D1"/>
    <w:rsid w:val="00EA61BC"/>
    <w:rsid w:val="00EA681A"/>
    <w:rsid w:val="00EA735B"/>
    <w:rsid w:val="00EB17DE"/>
    <w:rsid w:val="00EB1E69"/>
    <w:rsid w:val="00EB2086"/>
    <w:rsid w:val="00EB5EDF"/>
    <w:rsid w:val="00EB60FE"/>
    <w:rsid w:val="00EB74DB"/>
    <w:rsid w:val="00EC5359"/>
    <w:rsid w:val="00EC562A"/>
    <w:rsid w:val="00EC7003"/>
    <w:rsid w:val="00ED067A"/>
    <w:rsid w:val="00ED2B50"/>
    <w:rsid w:val="00EE0350"/>
    <w:rsid w:val="00EE0719"/>
    <w:rsid w:val="00EE0E80"/>
    <w:rsid w:val="00EE54A6"/>
    <w:rsid w:val="00EE613F"/>
    <w:rsid w:val="00EE7295"/>
    <w:rsid w:val="00EE7869"/>
    <w:rsid w:val="00EF054A"/>
    <w:rsid w:val="00EF3235"/>
    <w:rsid w:val="00EF7E72"/>
    <w:rsid w:val="00F00BBC"/>
    <w:rsid w:val="00F06D37"/>
    <w:rsid w:val="00F07B9D"/>
    <w:rsid w:val="00F11586"/>
    <w:rsid w:val="00F1183B"/>
    <w:rsid w:val="00F11C9F"/>
    <w:rsid w:val="00F12263"/>
    <w:rsid w:val="00F139DD"/>
    <w:rsid w:val="00F1409D"/>
    <w:rsid w:val="00F14214"/>
    <w:rsid w:val="00F157A9"/>
    <w:rsid w:val="00F17916"/>
    <w:rsid w:val="00F25BB6"/>
    <w:rsid w:val="00F26B7E"/>
    <w:rsid w:val="00F27A3B"/>
    <w:rsid w:val="00F33817"/>
    <w:rsid w:val="00F40D13"/>
    <w:rsid w:val="00F420D5"/>
    <w:rsid w:val="00F451EA"/>
    <w:rsid w:val="00F45447"/>
    <w:rsid w:val="00F456C6"/>
    <w:rsid w:val="00F4577B"/>
    <w:rsid w:val="00F46496"/>
    <w:rsid w:val="00F46DAE"/>
    <w:rsid w:val="00F474D0"/>
    <w:rsid w:val="00F50179"/>
    <w:rsid w:val="00F515EE"/>
    <w:rsid w:val="00F56511"/>
    <w:rsid w:val="00F6194E"/>
    <w:rsid w:val="00F623AC"/>
    <w:rsid w:val="00F6412A"/>
    <w:rsid w:val="00F65893"/>
    <w:rsid w:val="00F66A4A"/>
    <w:rsid w:val="00F71E22"/>
    <w:rsid w:val="00F72142"/>
    <w:rsid w:val="00F72AE7"/>
    <w:rsid w:val="00F8100E"/>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ABE"/>
    <w:rsid w:val="00FD59EB"/>
    <w:rsid w:val="00FD7299"/>
    <w:rsid w:val="00FE1FBE"/>
    <w:rsid w:val="00FE2E4D"/>
    <w:rsid w:val="00FE38D5"/>
    <w:rsid w:val="00FE3901"/>
    <w:rsid w:val="00FE39D3"/>
    <w:rsid w:val="00FE4BCE"/>
    <w:rsid w:val="00FE54AE"/>
    <w:rsid w:val="00FE576A"/>
    <w:rsid w:val="00FE7E79"/>
    <w:rsid w:val="00FF3E7D"/>
    <w:rsid w:val="00FF5B99"/>
    <w:rsid w:val="00FF730C"/>
    <w:rsid w:val="00FF73F4"/>
    <w:rsid w:val="00FF7CE4"/>
    <w:rsid w:val="00FF7E39"/>
    <w:rsid w:val="793A5AC9"/>
    <w:rsid w:val="C2F5F14E"/>
    <w:rsid w:val="FE5D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段 Char"/>
    <w:link w:val="231"/>
    <w:qFormat/>
    <w:locked/>
    <w:uiPriority w:val="0"/>
    <w:rPr>
      <w:rFonts w:ascii="宋体" w:hAnsi="宋体"/>
      <w:sz w:val="21"/>
    </w:rPr>
  </w:style>
  <w:style w:type="paragraph" w:customStyle="1" w:styleId="231">
    <w:name w:val="段"/>
    <w:link w:val="230"/>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jpeg"/><Relationship Id="rId30" Type="http://schemas.openxmlformats.org/officeDocument/2006/relationships/image" Target="media/image1.tiff"/><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enovo/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1DCD5FB40040618A9226B98B8DCFB0"/>
        <w:style w:val=""/>
        <w:category>
          <w:name w:val="常规"/>
          <w:gallery w:val="placeholder"/>
        </w:category>
        <w:types>
          <w:type w:val="bbPlcHdr"/>
        </w:types>
        <w:behaviors>
          <w:behavior w:val="content"/>
        </w:behaviors>
        <w:description w:val=""/>
        <w:guid w:val="{263BC85B-F1F8-4983-9B0D-EE13E5C2E219}"/>
      </w:docPartPr>
      <w:docPartBody>
        <w:p>
          <w:pPr>
            <w:pStyle w:val="5"/>
          </w:pPr>
          <w:r>
            <w:rPr>
              <w:rStyle w:val="4"/>
              <w:rFonts w:hint="eastAsia"/>
            </w:rPr>
            <w:t>单击或点击此处输入文字。</w:t>
          </w:r>
        </w:p>
      </w:docPartBody>
    </w:docPart>
    <w:docPart>
      <w:docPartPr>
        <w:name w:val="E09557B9970E497292943D4E34F2A631"/>
        <w:style w:val=""/>
        <w:category>
          <w:name w:val="常规"/>
          <w:gallery w:val="placeholder"/>
        </w:category>
        <w:types>
          <w:type w:val="bbPlcHdr"/>
        </w:types>
        <w:behaviors>
          <w:behavior w:val="content"/>
        </w:behaviors>
        <w:description w:val=""/>
        <w:guid w:val="{6FB92B82-480F-4068-858C-A7099651FF5E}"/>
      </w:docPartPr>
      <w:docPartBody>
        <w:p>
          <w:pPr>
            <w:pStyle w:val="6"/>
          </w:pPr>
          <w:r>
            <w:rPr>
              <w:rStyle w:val="4"/>
              <w:rFonts w:hint="eastAsia"/>
            </w:rPr>
            <w:t>选择一项。</w:t>
          </w:r>
        </w:p>
      </w:docPartBody>
    </w:docPart>
    <w:docPart>
      <w:docPartPr>
        <w:name w:val="143DD88FDF624B56B6B1B4F660B4CAAC"/>
        <w:style w:val=""/>
        <w:category>
          <w:name w:val="常规"/>
          <w:gallery w:val="placeholder"/>
        </w:category>
        <w:types>
          <w:type w:val="bbPlcHdr"/>
        </w:types>
        <w:behaviors>
          <w:behavior w:val="content"/>
        </w:behaviors>
        <w:description w:val=""/>
        <w:guid w:val="{AE02553F-97DB-4935-B829-50870FA9C35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A5"/>
    <w:rsid w:val="000365E6"/>
    <w:rsid w:val="000554BB"/>
    <w:rsid w:val="0008076C"/>
    <w:rsid w:val="003B3A5C"/>
    <w:rsid w:val="004D00F9"/>
    <w:rsid w:val="008770A5"/>
    <w:rsid w:val="00AB495B"/>
    <w:rsid w:val="00B011B4"/>
    <w:rsid w:val="00B22D2A"/>
    <w:rsid w:val="00D64785"/>
    <w:rsid w:val="00EB1BC9"/>
    <w:rsid w:val="00FB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D1DCD5FB40040618A9226B98B8DC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09557B9970E497292943D4E34F2A6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43DD88FDF624B56B6B1B4F660B4CAA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1007</Words>
  <Characters>5743</Characters>
  <Lines>47</Lines>
  <Paragraphs>13</Paragraphs>
  <TotalTime>10</TotalTime>
  <ScaleCrop>false</ScaleCrop>
  <LinksUpToDate>false</LinksUpToDate>
  <CharactersWithSpaces>6737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2024-12-05T18:56:00Z</dcterms:created>
  <dc:creator>ZhouYF</dc:creator>
  <dc:description>&lt;config cover="true" show_menu="true" version="1.0.0" doctype="SDKXY"&gt;_x000d_
&lt;/config&gt;</dc:description>
  <cp:lastModifiedBy>lenovo</cp:lastModifiedBy>
  <cp:lastPrinted>2024-12-05T19:00:00Z</cp:lastPrinted>
  <dcterms:modified xsi:type="dcterms:W3CDTF">2025-04-02T09:58:49Z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2052-11.8.2.10183</vt:lpwstr>
  </property>
  <property fmtid="{D5CDD505-2E9C-101B-9397-08002B2CF9AE}" pid="16" name="ICV">
    <vt:lpwstr>866FF57A84244F55A6B793BDD8001C8C_12</vt:lpwstr>
  </property>
</Properties>
</file>