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bookmarkStart w:id="1" w:name="_GoBack"/>
      <w:bookmarkStart w:id="0" w:name="_Toc18611"/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附件7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after="157" w:afterLines="50" w:line="560" w:lineRule="exact"/>
        <w:jc w:val="center"/>
        <w:textAlignment w:val="auto"/>
        <w:outlineLvl w:val="0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  <w:t>七、首次成为“四上”企业的高新技术企业奖励的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after="157" w:afterLines="50" w:line="560" w:lineRule="exact"/>
        <w:jc w:val="center"/>
        <w:textAlignment w:val="auto"/>
        <w:outlineLvl w:val="0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  <w:t>实施细则</w:t>
      </w:r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对首次成为“四上”企业的有效期内高新技术企业，市、区联动给予企业一次性奖励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（一）支持对象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工商注册、税收关系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、生产经营均在宝山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区的企业；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企业为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有效期内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高新技术企业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首次成为“四上”企业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申报企业为独立法人单位，财务制度健全，会计信用和纳税信用良好，经营过程中无违法违规行为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（二）支持标准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对首次成为“四上”企业的有效期内高新技术企业，市、区联动给予企业上一年度研发投入5%的一次性奖励，最高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（三）申报材料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有效期内的高新技术企业证书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研发费费用专项审计报告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（四）申报流程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申报企业按申报材料要求，准备有关材料，可先将申报材料盖章扫描后通过电子邮件提交，并通过快递向宝山区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科委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行政许可科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）提交纸质原件。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（五）受理单位及联系方式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受理单位：上海市宝山区科学技术委员会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联系人：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张哲韧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26097746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地址：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淞滨路1号3楼304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邮箱：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bskjqy@126.com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ZjU2MGFlNzJmY2Q4OWQ0ZjIwOGI2N2JmZTMxZWQifQ=="/>
  </w:docVars>
  <w:rsids>
    <w:rsidRoot w:val="18A636E5"/>
    <w:rsid w:val="18A636E5"/>
    <w:rsid w:val="7D7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ind w:firstLine="184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424</Characters>
  <Lines>0</Lines>
  <Paragraphs>0</Paragraphs>
  <TotalTime>0</TotalTime>
  <ScaleCrop>false</ScaleCrop>
  <LinksUpToDate>false</LinksUpToDate>
  <CharactersWithSpaces>426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2022-11-25T14:21:00Z</dcterms:created>
  <dc:creator>丁丁</dc:creator>
  <cp:lastModifiedBy>丁丁</cp:lastModifiedBy>
  <dcterms:modified xsi:type="dcterms:W3CDTF">2022-11-25T14:22:19Z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99F664C16B8842F789F3802BC7995F81</vt:lpwstr>
  </property>
</Properties>
</file>