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Arial" w:hAnsi="Arial" w:eastAsia="黑体" w:cs="Arial"/>
          <w:sz w:val="40"/>
          <w:szCs w:val="18"/>
        </w:rPr>
      </w:pPr>
      <w:bookmarkStart w:id="0" w:name="_Toc403560674"/>
    </w:p>
    <w:p>
      <w:pPr>
        <w:widowControl/>
        <w:jc w:val="center"/>
        <w:rPr>
          <w:rFonts w:ascii="Arial" w:hAnsi="Arial" w:eastAsia="黑体" w:cs="Arial"/>
          <w:sz w:val="40"/>
          <w:szCs w:val="18"/>
        </w:rPr>
      </w:pPr>
    </w:p>
    <w:p>
      <w:pPr>
        <w:widowControl/>
        <w:jc w:val="center"/>
        <w:rPr>
          <w:rFonts w:ascii="Arial" w:hAnsi="Arial" w:eastAsia="黑体" w:cs="Arial"/>
          <w:sz w:val="40"/>
          <w:szCs w:val="18"/>
        </w:rPr>
      </w:pPr>
    </w:p>
    <w:p>
      <w:pPr>
        <w:widowControl/>
        <w:jc w:val="center"/>
        <w:rPr>
          <w:rFonts w:ascii="Arial" w:hAnsi="Arial" w:eastAsia="黑体" w:cs="Arial"/>
          <w:sz w:val="56"/>
          <w:szCs w:val="56"/>
        </w:rPr>
      </w:pPr>
      <w:r>
        <w:rPr>
          <w:rFonts w:ascii="Arial" w:hAnsi="Arial" w:eastAsia="黑体" w:cs="Arial"/>
          <w:sz w:val="56"/>
          <w:szCs w:val="56"/>
        </w:rPr>
        <w:t>上海市房屋建筑工程</w:t>
      </w:r>
    </w:p>
    <w:p>
      <w:pPr>
        <w:widowControl/>
        <w:jc w:val="center"/>
        <w:rPr>
          <w:rFonts w:ascii="Arial" w:hAnsi="Arial" w:eastAsia="黑体" w:cs="Arial"/>
          <w:sz w:val="56"/>
          <w:szCs w:val="56"/>
        </w:rPr>
      </w:pPr>
      <w:r>
        <w:rPr>
          <w:rFonts w:ascii="Arial" w:hAnsi="Arial" w:eastAsia="黑体" w:cs="Arial"/>
          <w:sz w:val="56"/>
          <w:szCs w:val="56"/>
        </w:rPr>
        <w:t>施工图设计文件技术审查要点</w:t>
      </w:r>
      <w:r>
        <w:rPr>
          <w:rFonts w:hint="eastAsia" w:ascii="Arial" w:hAnsi="Arial" w:eastAsia="黑体" w:cs="Arial"/>
          <w:sz w:val="56"/>
          <w:szCs w:val="56"/>
        </w:rPr>
        <w:t>（3.0版）</w:t>
      </w:r>
    </w:p>
    <w:p>
      <w:pPr>
        <w:widowControl/>
        <w:jc w:val="center"/>
        <w:rPr>
          <w:rFonts w:ascii="Arial" w:hAnsi="Arial" w:eastAsia="黑体" w:cs="Arial"/>
          <w:sz w:val="44"/>
          <w:szCs w:val="44"/>
        </w:rPr>
      </w:pPr>
      <w:r>
        <w:rPr>
          <w:rFonts w:ascii="Arial" w:hAnsi="Arial" w:eastAsia="黑体" w:cs="Arial"/>
          <w:sz w:val="44"/>
          <w:szCs w:val="44"/>
        </w:rPr>
        <w:t>（建筑、结构篇）</w:t>
      </w:r>
    </w:p>
    <w:p>
      <w:pPr>
        <w:widowControl/>
        <w:jc w:val="center"/>
        <w:rPr>
          <w:rFonts w:ascii="Arial" w:hAnsi="Arial" w:eastAsia="黑体" w:cs="Arial"/>
          <w:sz w:val="44"/>
          <w:szCs w:val="44"/>
        </w:rPr>
      </w:pPr>
    </w:p>
    <w:p>
      <w:pPr>
        <w:widowControl/>
        <w:jc w:val="center"/>
        <w:rPr>
          <w:rFonts w:ascii="Arial" w:hAnsi="Arial" w:eastAsia="黑体" w:cs="Arial"/>
          <w:sz w:val="40"/>
          <w:szCs w:val="18"/>
        </w:rPr>
      </w:pPr>
    </w:p>
    <w:p>
      <w:pPr>
        <w:widowControl/>
        <w:jc w:val="center"/>
        <w:rPr>
          <w:rFonts w:ascii="Arial" w:hAnsi="Arial" w:eastAsia="黑体" w:cs="Arial"/>
          <w:sz w:val="40"/>
          <w:szCs w:val="18"/>
        </w:rPr>
      </w:pPr>
    </w:p>
    <w:p>
      <w:pPr>
        <w:widowControl/>
        <w:jc w:val="center"/>
        <w:rPr>
          <w:rFonts w:ascii="Arial" w:hAnsi="Arial" w:eastAsia="黑体" w:cs="Arial"/>
          <w:sz w:val="40"/>
          <w:szCs w:val="18"/>
        </w:rPr>
      </w:pPr>
    </w:p>
    <w:p>
      <w:pPr>
        <w:widowControl/>
        <w:jc w:val="center"/>
        <w:rPr>
          <w:rFonts w:ascii="Arial" w:hAnsi="Arial" w:eastAsia="黑体" w:cs="Arial"/>
          <w:sz w:val="40"/>
          <w:szCs w:val="18"/>
        </w:rPr>
      </w:pPr>
    </w:p>
    <w:p>
      <w:pPr>
        <w:widowControl/>
        <w:jc w:val="center"/>
        <w:rPr>
          <w:rFonts w:ascii="Arial" w:hAnsi="Arial" w:eastAsia="黑体" w:cs="Arial"/>
          <w:sz w:val="40"/>
          <w:szCs w:val="18"/>
        </w:rPr>
      </w:pPr>
    </w:p>
    <w:p>
      <w:pPr>
        <w:widowControl/>
        <w:jc w:val="center"/>
        <w:rPr>
          <w:rFonts w:ascii="Arial" w:hAnsi="Arial" w:eastAsia="黑体" w:cs="Arial"/>
          <w:sz w:val="40"/>
          <w:szCs w:val="18"/>
        </w:rPr>
      </w:pPr>
    </w:p>
    <w:p>
      <w:pPr>
        <w:widowControl/>
        <w:jc w:val="center"/>
        <w:rPr>
          <w:rFonts w:ascii="Arial" w:hAnsi="Arial" w:eastAsia="黑体" w:cs="Arial"/>
          <w:sz w:val="40"/>
          <w:szCs w:val="18"/>
        </w:rPr>
      </w:pPr>
    </w:p>
    <w:p>
      <w:pPr>
        <w:widowControl/>
        <w:jc w:val="center"/>
        <w:rPr>
          <w:rFonts w:ascii="Arial" w:hAnsi="Arial" w:eastAsia="黑体" w:cs="Arial"/>
          <w:sz w:val="40"/>
          <w:szCs w:val="18"/>
        </w:rPr>
      </w:pPr>
      <w:r>
        <w:rPr>
          <w:rFonts w:hint="eastAsia" w:ascii="Arial" w:hAnsi="Arial" w:eastAsia="黑体" w:cs="Arial"/>
          <w:sz w:val="40"/>
          <w:szCs w:val="18"/>
        </w:rPr>
        <w:t>上海市住房和城乡建设管理委员会</w:t>
      </w:r>
    </w:p>
    <w:p>
      <w:pPr>
        <w:widowControl/>
        <w:jc w:val="center"/>
        <w:rPr>
          <w:rFonts w:ascii="Arial" w:hAnsi="Arial" w:eastAsia="黑体" w:cs="Arial"/>
          <w:sz w:val="40"/>
          <w:szCs w:val="18"/>
        </w:rPr>
      </w:pPr>
    </w:p>
    <w:p>
      <w:pPr>
        <w:widowControl/>
        <w:jc w:val="center"/>
        <w:rPr>
          <w:rFonts w:ascii="Arial" w:hAnsi="Arial" w:eastAsia="黑体" w:cs="Arial"/>
          <w:sz w:val="40"/>
          <w:szCs w:val="18"/>
        </w:rPr>
      </w:pPr>
      <w:r>
        <w:rPr>
          <w:rFonts w:hint="eastAsia" w:ascii="Arial" w:hAnsi="Arial" w:eastAsia="黑体" w:cs="Arial"/>
          <w:sz w:val="32"/>
          <w:szCs w:val="28"/>
          <w:lang w:val="en-US" w:eastAsia="zh-CN"/>
        </w:rPr>
        <w:t>2023</w:t>
      </w:r>
      <w:r>
        <w:rPr>
          <w:rFonts w:ascii="Arial" w:hAnsi="Arial" w:eastAsia="黑体" w:cs="Arial"/>
          <w:sz w:val="32"/>
          <w:szCs w:val="28"/>
        </w:rPr>
        <w:t>年</w:t>
      </w:r>
      <w:r>
        <w:rPr>
          <w:rFonts w:hint="eastAsia" w:ascii="Arial" w:hAnsi="Arial" w:eastAsia="黑体" w:cs="Arial"/>
          <w:sz w:val="32"/>
          <w:szCs w:val="28"/>
          <w:lang w:val="en-US" w:eastAsia="zh-CN"/>
        </w:rPr>
        <w:t>1</w:t>
      </w:r>
      <w:r>
        <w:rPr>
          <w:rFonts w:ascii="Arial" w:hAnsi="Arial" w:eastAsia="黑体" w:cs="Arial"/>
          <w:sz w:val="32"/>
          <w:szCs w:val="28"/>
        </w:rPr>
        <w:t>月</w:t>
      </w:r>
    </w:p>
    <w:p>
      <w:pPr>
        <w:widowControl/>
        <w:jc w:val="center"/>
        <w:rPr>
          <w:rFonts w:ascii="Arial" w:hAnsi="Arial" w:eastAsia="黑体" w:cs="Arial"/>
          <w:sz w:val="40"/>
          <w:szCs w:val="18"/>
        </w:rPr>
      </w:pPr>
    </w:p>
    <w:p>
      <w:pPr>
        <w:spacing w:line="360" w:lineRule="auto"/>
        <w:jc w:val="center"/>
        <w:rPr>
          <w:rFonts w:ascii="Arial" w:hAnsi="Arial" w:cs="Arial"/>
          <w:sz w:val="24"/>
          <w:szCs w:val="24"/>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pPr>
        <w:widowControl/>
        <w:jc w:val="center"/>
        <w:rPr>
          <w:rFonts w:ascii="Arial" w:hAnsi="Arial" w:eastAsia="黑体" w:cs="Arial"/>
          <w:sz w:val="36"/>
        </w:rPr>
      </w:pPr>
      <w:r>
        <w:rPr>
          <w:rFonts w:ascii="Arial" w:hAnsi="Arial" w:eastAsia="黑体" w:cs="Arial"/>
          <w:sz w:val="36"/>
        </w:rPr>
        <w:t>编制说明</w:t>
      </w:r>
    </w:p>
    <w:p>
      <w:pPr>
        <w:widowControl/>
        <w:jc w:val="center"/>
        <w:rPr>
          <w:rFonts w:ascii="Arial" w:hAnsi="Arial" w:eastAsia="黑体" w:cs="Arial"/>
          <w:sz w:val="36"/>
        </w:rPr>
      </w:pPr>
    </w:p>
    <w:p>
      <w:pPr>
        <w:spacing w:line="360" w:lineRule="auto"/>
        <w:ind w:firstLine="480" w:firstLineChars="200"/>
        <w:rPr>
          <w:rFonts w:ascii="Arial" w:hAnsi="Arial" w:cs="Arial"/>
          <w:sz w:val="24"/>
          <w:szCs w:val="21"/>
        </w:rPr>
      </w:pPr>
      <w:r>
        <w:rPr>
          <w:rFonts w:hint="eastAsia" w:ascii="Arial" w:hAnsi="Arial" w:cs="Arial"/>
          <w:sz w:val="24"/>
          <w:szCs w:val="21"/>
        </w:rPr>
        <w:t>受上海市</w:t>
      </w:r>
      <w:r>
        <w:rPr>
          <w:rFonts w:hint="eastAsia" w:ascii="Arial" w:hAnsi="Arial" w:cs="Arial"/>
          <w:sz w:val="24"/>
          <w:szCs w:val="21"/>
          <w:lang w:eastAsia="zh-CN"/>
        </w:rPr>
        <w:t>住房和</w:t>
      </w:r>
      <w:r>
        <w:rPr>
          <w:rFonts w:hint="eastAsia" w:ascii="Arial" w:hAnsi="Arial" w:cs="Arial"/>
          <w:sz w:val="24"/>
          <w:szCs w:val="21"/>
        </w:rPr>
        <w:t>城乡建设管理委员会委</w:t>
      </w:r>
      <w:r>
        <w:rPr>
          <w:rFonts w:hint="eastAsia" w:ascii="Arial" w:hAnsi="Arial" w:eastAsia="宋体" w:cs="Arial"/>
          <w:sz w:val="24"/>
          <w:szCs w:val="21"/>
          <w:lang w:eastAsia="zh-CN"/>
        </w:rPr>
        <w:t>托，上海市建设工程勘察设计管理事务中心、上海市勘察设计行业协会（审图</w:t>
      </w:r>
      <w:r>
        <w:rPr>
          <w:rFonts w:ascii="Arial" w:hAnsi="Arial" w:cs="Arial"/>
          <w:sz w:val="24"/>
          <w:szCs w:val="21"/>
        </w:rPr>
        <w:t>专业委员会</w:t>
      </w:r>
      <w:r>
        <w:rPr>
          <w:rFonts w:hint="eastAsia" w:ascii="Arial" w:hAnsi="Arial" w:cs="Arial"/>
          <w:sz w:val="24"/>
          <w:szCs w:val="21"/>
          <w:lang w:eastAsia="zh-CN"/>
        </w:rPr>
        <w:t>）</w:t>
      </w:r>
      <w:r>
        <w:rPr>
          <w:rFonts w:hint="eastAsia" w:ascii="Arial" w:hAnsi="Arial" w:cs="Arial"/>
          <w:sz w:val="24"/>
          <w:szCs w:val="21"/>
        </w:rPr>
        <w:t>组织编写了《上海市房屋建筑工程施工图设计文件技术审查要点（建筑、结构专业篇）》（以下简称《上海审查要点》）。为使房屋建筑工程的施工图审查人员、设计人员了解《上海审查要点》的编制思路，现对有关问题予以简要说明，供相关人员参考。</w:t>
      </w:r>
    </w:p>
    <w:p>
      <w:pPr>
        <w:spacing w:line="360" w:lineRule="auto"/>
        <w:ind w:firstLine="480" w:firstLineChars="200"/>
        <w:rPr>
          <w:rFonts w:ascii="Arial" w:hAnsi="Arial" w:cs="Arial"/>
          <w:sz w:val="24"/>
          <w:szCs w:val="21"/>
        </w:rPr>
      </w:pPr>
      <w:r>
        <w:rPr>
          <w:rFonts w:hint="eastAsia" w:ascii="Arial" w:hAnsi="Arial" w:cs="Arial"/>
          <w:sz w:val="24"/>
          <w:szCs w:val="21"/>
        </w:rPr>
        <w:t>一</w:t>
      </w:r>
      <w:r>
        <w:rPr>
          <w:rFonts w:ascii="Arial" w:hAnsi="Arial" w:cs="Arial"/>
          <w:sz w:val="24"/>
          <w:szCs w:val="21"/>
        </w:rPr>
        <w:t>、</w:t>
      </w:r>
      <w:r>
        <w:rPr>
          <w:rFonts w:hint="eastAsia" w:ascii="Arial" w:hAnsi="Arial" w:cs="Arial"/>
          <w:sz w:val="24"/>
          <w:szCs w:val="21"/>
        </w:rPr>
        <w:t>根据《房屋建筑和市政基础设施工程施工图设计文件审查管理办法》（中华人民共和国住房和城乡建设部令第13号）第十一条对审查内容的规定，施工图审查按下列原则确定技术审查内容</w:t>
      </w:r>
      <w:r>
        <w:rPr>
          <w:rFonts w:ascii="Arial" w:hAnsi="Arial" w:cs="Arial"/>
          <w:sz w:val="24"/>
          <w:szCs w:val="21"/>
        </w:rPr>
        <w:t>：</w:t>
      </w:r>
    </w:p>
    <w:p>
      <w:pPr>
        <w:spacing w:line="360" w:lineRule="auto"/>
        <w:ind w:firstLine="480" w:firstLineChars="200"/>
        <w:rPr>
          <w:rFonts w:hint="eastAsia" w:ascii="Arial" w:hAnsi="Arial" w:cs="Arial"/>
          <w:sz w:val="24"/>
          <w:szCs w:val="21"/>
          <w:lang w:val="en-US" w:eastAsia="zh-CN"/>
        </w:rPr>
      </w:pPr>
      <w:r>
        <w:rPr>
          <w:rFonts w:hint="eastAsia" w:ascii="Arial" w:hAnsi="Arial" w:cs="Arial"/>
          <w:sz w:val="24"/>
          <w:szCs w:val="21"/>
          <w:lang w:eastAsia="zh-CN"/>
        </w:rPr>
        <w:t>（一）</w:t>
      </w:r>
      <w:r>
        <w:rPr>
          <w:rFonts w:hint="eastAsia" w:ascii="Arial" w:hAnsi="Arial" w:cs="Arial"/>
          <w:sz w:val="24"/>
          <w:szCs w:val="21"/>
        </w:rPr>
        <w:t>现行工程建设标准（含国家标准、行业标准、地方标准）中的强制性条文（以下简称强条）</w:t>
      </w:r>
      <w:r>
        <w:rPr>
          <w:rFonts w:hint="eastAsia" w:ascii="Arial" w:hAnsi="Arial" w:cs="Arial"/>
          <w:sz w:val="24"/>
          <w:szCs w:val="21"/>
          <w:lang w:eastAsia="zh-CN"/>
        </w:rPr>
        <w:t>，</w:t>
      </w:r>
      <w:r>
        <w:rPr>
          <w:rFonts w:hint="eastAsia" w:ascii="Arial" w:hAnsi="Arial" w:cs="Arial"/>
          <w:sz w:val="24"/>
          <w:szCs w:val="21"/>
          <w:lang w:val="en-US" w:eastAsia="zh-CN"/>
        </w:rPr>
        <w:t>均为施工图审查内容，</w:t>
      </w:r>
      <w:r>
        <w:rPr>
          <w:rFonts w:hint="eastAsia" w:ascii="Arial" w:hAnsi="Arial" w:cs="Arial"/>
          <w:sz w:val="24"/>
          <w:szCs w:val="21"/>
        </w:rPr>
        <w:t>《上海审查要点》</w:t>
      </w:r>
      <w:r>
        <w:rPr>
          <w:rFonts w:hint="eastAsia" w:ascii="Arial" w:hAnsi="Arial" w:cs="Arial"/>
          <w:sz w:val="24"/>
          <w:szCs w:val="21"/>
          <w:lang w:val="en-US" w:eastAsia="zh-CN"/>
        </w:rPr>
        <w:t>不再重复列出。</w:t>
      </w:r>
    </w:p>
    <w:p>
      <w:pPr>
        <w:spacing w:line="360" w:lineRule="auto"/>
        <w:ind w:firstLine="480" w:firstLineChars="200"/>
        <w:rPr>
          <w:rFonts w:ascii="Arial" w:hAnsi="Arial" w:cs="Arial"/>
          <w:sz w:val="24"/>
          <w:szCs w:val="21"/>
        </w:rPr>
      </w:pPr>
      <w:r>
        <w:rPr>
          <w:rFonts w:hint="eastAsia" w:ascii="Arial" w:hAnsi="Arial" w:cs="Arial"/>
          <w:sz w:val="24"/>
          <w:szCs w:val="21"/>
          <w:lang w:eastAsia="zh-CN"/>
        </w:rPr>
        <w:t>（二）</w:t>
      </w:r>
      <w:r>
        <w:rPr>
          <w:rFonts w:ascii="Arial" w:hAnsi="Arial" w:cs="Arial"/>
          <w:sz w:val="24"/>
          <w:szCs w:val="21"/>
        </w:rPr>
        <w:t>住房城乡建设部</w:t>
      </w:r>
      <w:r>
        <w:rPr>
          <w:rFonts w:hint="eastAsia" w:ascii="Arial" w:hAnsi="Arial" w:cs="Arial"/>
          <w:sz w:val="24"/>
          <w:szCs w:val="21"/>
          <w:lang w:val="en-US" w:eastAsia="zh-CN"/>
        </w:rPr>
        <w:t>编制的</w:t>
      </w:r>
      <w:r>
        <w:rPr>
          <w:rFonts w:ascii="Arial" w:hAnsi="Arial" w:cs="Arial"/>
          <w:sz w:val="24"/>
          <w:szCs w:val="21"/>
        </w:rPr>
        <w:t>《建筑工程施工图设计文件技术审查要点》</w:t>
      </w:r>
      <w:r>
        <w:rPr>
          <w:rFonts w:ascii="Arial" w:hAnsi="Arial" w:cs="Arial"/>
          <w:sz w:val="24"/>
          <w:szCs w:val="24"/>
        </w:rPr>
        <w:t>、《减隔震建筑施工图设计文件技术审查要点》、《装配式混凝土结构建筑施工图设计文件技术审查要点》</w:t>
      </w:r>
      <w:r>
        <w:rPr>
          <w:rFonts w:hint="eastAsia" w:ascii="Arial" w:hAnsi="Arial" w:cs="Arial"/>
          <w:sz w:val="24"/>
          <w:szCs w:val="24"/>
          <w:lang w:val="en-US" w:eastAsia="zh-CN"/>
        </w:rPr>
        <w:t>等施工图设计文件技术审查要点，均为施工图审查内容，</w:t>
      </w:r>
      <w:r>
        <w:rPr>
          <w:rFonts w:hint="eastAsia" w:ascii="Arial" w:hAnsi="Arial" w:cs="Arial"/>
          <w:sz w:val="24"/>
          <w:szCs w:val="21"/>
        </w:rPr>
        <w:t>《上海审查要点》</w:t>
      </w:r>
      <w:r>
        <w:rPr>
          <w:rFonts w:hint="eastAsia" w:ascii="Arial" w:hAnsi="Arial" w:cs="Arial"/>
          <w:sz w:val="24"/>
          <w:szCs w:val="21"/>
          <w:lang w:val="en-US" w:eastAsia="zh-CN"/>
        </w:rPr>
        <w:t>不再重复列出</w:t>
      </w:r>
      <w:r>
        <w:rPr>
          <w:rFonts w:hint="eastAsia" w:ascii="Arial" w:hAnsi="Arial" w:cs="Arial"/>
          <w:sz w:val="24"/>
          <w:szCs w:val="21"/>
        </w:rPr>
        <w:t>。</w:t>
      </w:r>
    </w:p>
    <w:p>
      <w:pPr>
        <w:spacing w:line="360" w:lineRule="auto"/>
        <w:ind w:firstLine="480" w:firstLineChars="200"/>
        <w:rPr>
          <w:rFonts w:hint="eastAsia" w:ascii="Arial" w:hAnsi="Arial" w:cs="Arial"/>
          <w:sz w:val="24"/>
          <w:szCs w:val="21"/>
          <w:lang w:val="en-US" w:eastAsia="zh-CN"/>
        </w:rPr>
      </w:pPr>
      <w:r>
        <w:rPr>
          <w:rFonts w:hint="eastAsia" w:ascii="Arial" w:hAnsi="Arial" w:cs="Arial"/>
          <w:sz w:val="24"/>
          <w:szCs w:val="21"/>
          <w:lang w:eastAsia="zh-CN"/>
        </w:rPr>
        <w:t>（三）</w:t>
      </w:r>
      <w:r>
        <w:rPr>
          <w:rFonts w:hint="eastAsia" w:ascii="Arial" w:hAnsi="Arial" w:cs="Arial"/>
          <w:sz w:val="24"/>
          <w:szCs w:val="21"/>
        </w:rPr>
        <w:t>《上海审查要点》</w:t>
      </w:r>
      <w:r>
        <w:rPr>
          <w:rFonts w:ascii="Arial" w:hAnsi="Arial" w:cs="Arial"/>
          <w:sz w:val="24"/>
          <w:szCs w:val="21"/>
        </w:rPr>
        <w:t>主要根据住房城乡建设部《建筑工程施工图设计文件技术审查要点》的覆盖范围，整理上海地方规范、规程中的相关内容，重点突出与国家规范、规程有不同要求的条款，以及地方法律、法规、规范性文件对建筑工程设计的要求，并少量增加与安全、公众利益直接相关的其他规范条款</w:t>
      </w:r>
      <w:r>
        <w:rPr>
          <w:rFonts w:hint="eastAsia" w:ascii="Arial" w:hAnsi="Arial" w:cs="Arial"/>
          <w:sz w:val="24"/>
          <w:szCs w:val="21"/>
          <w:lang w:val="en-US" w:eastAsia="zh-CN"/>
        </w:rPr>
        <w:t>及部分与公共利益和公众安全密切相关的地方推荐性标准相应条款。</w:t>
      </w:r>
    </w:p>
    <w:p>
      <w:pPr>
        <w:spacing w:line="360" w:lineRule="auto"/>
        <w:ind w:firstLine="480" w:firstLineChars="200"/>
        <w:rPr>
          <w:rFonts w:hint="eastAsia" w:ascii="Arial" w:hAnsi="Arial" w:cs="Arial"/>
          <w:kern w:val="0"/>
          <w:sz w:val="24"/>
          <w:szCs w:val="24"/>
          <w:lang w:eastAsia="zh-CN"/>
        </w:rPr>
        <w:sectPr>
          <w:footerReference r:id="rId5" w:type="default"/>
          <w:pgSz w:w="11906" w:h="16838"/>
          <w:pgMar w:top="1440" w:right="1800" w:bottom="1440" w:left="1800" w:header="851" w:footer="992" w:gutter="0"/>
          <w:pgNumType w:start="1"/>
          <w:cols w:space="425" w:num="1"/>
          <w:docGrid w:type="lines" w:linePitch="312" w:charSpace="0"/>
        </w:sectPr>
      </w:pPr>
      <w:r>
        <w:rPr>
          <w:rFonts w:hint="eastAsia" w:ascii="Arial" w:hAnsi="Arial" w:cs="Arial"/>
          <w:sz w:val="24"/>
          <w:szCs w:val="21"/>
          <w:lang w:val="en-US" w:eastAsia="zh-CN"/>
        </w:rPr>
        <w:t>（四）本市已制定的</w:t>
      </w:r>
      <w:r>
        <w:rPr>
          <w:rFonts w:hint="eastAsia" w:ascii="Arial" w:hAnsi="Arial" w:cs="Arial"/>
          <w:kern w:val="0"/>
          <w:sz w:val="24"/>
          <w:szCs w:val="24"/>
        </w:rPr>
        <w:t>《上海市公共建筑绿色设计施工图设计文件审查要点》</w:t>
      </w:r>
      <w:r>
        <w:rPr>
          <w:rFonts w:hint="eastAsia" w:ascii="Arial" w:hAnsi="Arial" w:cs="Arial"/>
          <w:kern w:val="0"/>
          <w:sz w:val="24"/>
          <w:szCs w:val="24"/>
          <w:lang w:eastAsia="zh-CN"/>
        </w:rPr>
        <w:t>、</w:t>
      </w:r>
    </w:p>
    <w:p>
      <w:pPr>
        <w:spacing w:line="360" w:lineRule="auto"/>
        <w:ind w:firstLine="480" w:firstLineChars="200"/>
        <w:rPr>
          <w:rFonts w:hint="eastAsia" w:ascii="Arial" w:hAnsi="Arial" w:cs="Arial"/>
          <w:kern w:val="0"/>
          <w:sz w:val="24"/>
          <w:szCs w:val="24"/>
          <w:lang w:val="en-US" w:eastAsia="zh-CN"/>
        </w:rPr>
      </w:pPr>
      <w:r>
        <w:rPr>
          <w:rFonts w:hint="eastAsia" w:ascii="Arial" w:hAnsi="Arial" w:cs="Arial"/>
          <w:kern w:val="0"/>
          <w:sz w:val="24"/>
          <w:szCs w:val="24"/>
        </w:rPr>
        <w:t>《上海市住宅建筑绿色设计施工图设计文件审查要点》</w:t>
      </w:r>
      <w:r>
        <w:rPr>
          <w:rFonts w:hint="eastAsia" w:ascii="Arial" w:hAnsi="Arial" w:cs="Arial"/>
          <w:kern w:val="0"/>
          <w:sz w:val="24"/>
          <w:szCs w:val="24"/>
          <w:lang w:eastAsia="zh-CN"/>
        </w:rPr>
        <w:t>、</w:t>
      </w:r>
      <w:r>
        <w:rPr>
          <w:rFonts w:ascii="Arial" w:hAnsi="Arial" w:cs="Arial"/>
          <w:kern w:val="0"/>
          <w:sz w:val="24"/>
          <w:szCs w:val="24"/>
        </w:rPr>
        <w:t>《上海市装配整体式混凝土建筑工程施工图设计文件技术审查要点》</w:t>
      </w:r>
      <w:r>
        <w:rPr>
          <w:rFonts w:hint="eastAsia" w:ascii="Arial" w:hAnsi="Arial" w:cs="Arial"/>
          <w:kern w:val="0"/>
          <w:sz w:val="24"/>
          <w:szCs w:val="24"/>
          <w:lang w:eastAsia="zh-CN"/>
        </w:rPr>
        <w:t>、</w:t>
      </w:r>
      <w:r>
        <w:rPr>
          <w:rFonts w:hint="eastAsia" w:ascii="Arial" w:hAnsi="Arial" w:cs="Arial"/>
          <w:kern w:val="0"/>
          <w:sz w:val="24"/>
          <w:szCs w:val="24"/>
        </w:rPr>
        <w:t>《保障性住房（共有产权房和征收安置房）审查要点》</w:t>
      </w:r>
      <w:r>
        <w:rPr>
          <w:rFonts w:hint="eastAsia" w:ascii="Arial" w:hAnsi="Arial" w:cs="Arial"/>
          <w:kern w:val="0"/>
          <w:sz w:val="24"/>
          <w:szCs w:val="24"/>
          <w:lang w:val="en-US" w:eastAsia="zh-CN"/>
        </w:rPr>
        <w:t>等专项审查要点均为施工图审查内容，《上海审查要点》不再重复列出。</w:t>
      </w:r>
    </w:p>
    <w:p>
      <w:pPr>
        <w:spacing w:line="360" w:lineRule="auto"/>
        <w:ind w:firstLine="480" w:firstLineChars="200"/>
        <w:rPr>
          <w:rFonts w:hint="default" w:ascii="Arial" w:hAnsi="Arial" w:cs="Arial"/>
          <w:kern w:val="0"/>
          <w:sz w:val="24"/>
          <w:szCs w:val="24"/>
          <w:lang w:val="en-US" w:eastAsia="zh-CN"/>
        </w:rPr>
      </w:pPr>
      <w:r>
        <w:rPr>
          <w:rFonts w:hint="eastAsia" w:ascii="Arial" w:hAnsi="Arial" w:cs="Arial"/>
          <w:kern w:val="0"/>
          <w:sz w:val="24"/>
          <w:szCs w:val="24"/>
          <w:lang w:val="en-US" w:eastAsia="zh-CN"/>
        </w:rPr>
        <w:t>（五）根据《上海市工程建设项目施工图设计文件“多图联审”管理办法》，消防、民防、卫生、水务、抗震等管理部门的技术审查事项并入施工图设计文件审查，施工图审查机构对施工图设计文件以及其中的消防设计、结合民用建筑修建防空地下室设计、预防性卫生设计、节水设施设计、抗震设防设计（超限高层专项设防审查除外）等采用数字化在线审图进行统一审查，《上海审查要点》不再重复列出。</w:t>
      </w:r>
    </w:p>
    <w:p>
      <w:pPr>
        <w:spacing w:line="360" w:lineRule="auto"/>
        <w:ind w:firstLine="480" w:firstLineChars="200"/>
        <w:rPr>
          <w:rFonts w:hint="default" w:ascii="Arial" w:hAnsi="Arial" w:cs="Arial"/>
          <w:kern w:val="0"/>
          <w:sz w:val="24"/>
          <w:szCs w:val="24"/>
          <w:lang w:val="en-US" w:eastAsia="zh-CN"/>
        </w:rPr>
      </w:pPr>
      <w:r>
        <w:rPr>
          <w:rFonts w:hint="eastAsia" w:ascii="Arial" w:hAnsi="Arial" w:cs="Arial"/>
          <w:kern w:val="0"/>
          <w:sz w:val="24"/>
          <w:szCs w:val="24"/>
          <w:lang w:val="en-US" w:eastAsia="zh-CN"/>
        </w:rPr>
        <w:t>（六）近年发布的规范性文件列在本审查要点后，作为附录供相关人员参考。</w:t>
      </w:r>
    </w:p>
    <w:p>
      <w:pPr>
        <w:spacing w:line="360" w:lineRule="auto"/>
        <w:ind w:firstLine="480" w:firstLineChars="200"/>
        <w:rPr>
          <w:rFonts w:hint="eastAsia" w:ascii="Arial" w:hAnsi="Arial" w:eastAsia="楷体_GB2312" w:cs="Arial"/>
          <w:sz w:val="24"/>
          <w:szCs w:val="21"/>
          <w:lang w:eastAsia="zh-CN"/>
        </w:rPr>
      </w:pPr>
      <w:r>
        <w:rPr>
          <w:rFonts w:hint="eastAsia" w:ascii="Arial" w:hAnsi="Arial" w:cs="Arial"/>
          <w:sz w:val="24"/>
          <w:szCs w:val="21"/>
        </w:rPr>
        <w:t>二、</w:t>
      </w:r>
      <w:r>
        <w:rPr>
          <w:rFonts w:ascii="Arial" w:hAnsi="Arial" w:cs="Arial"/>
          <w:sz w:val="24"/>
          <w:szCs w:val="21"/>
        </w:rPr>
        <w:t>施工图设计文件存在不符合本</w:t>
      </w:r>
      <w:r>
        <w:rPr>
          <w:rFonts w:hint="eastAsia" w:ascii="Arial" w:hAnsi="Arial" w:cs="Arial"/>
          <w:sz w:val="24"/>
          <w:szCs w:val="21"/>
        </w:rPr>
        <w:t>编制说明第一条</w:t>
      </w:r>
      <w:r>
        <w:rPr>
          <w:rFonts w:ascii="Arial" w:hAnsi="Arial" w:cs="Arial"/>
          <w:sz w:val="24"/>
          <w:szCs w:val="21"/>
        </w:rPr>
        <w:t>所列</w:t>
      </w:r>
      <w:r>
        <w:rPr>
          <w:rFonts w:hint="eastAsia" w:ascii="Arial" w:hAnsi="Arial" w:cs="Arial"/>
          <w:sz w:val="24"/>
          <w:szCs w:val="21"/>
        </w:rPr>
        <w:t>内容</w:t>
      </w:r>
      <w:r>
        <w:rPr>
          <w:rFonts w:ascii="Arial" w:hAnsi="Arial" w:cs="Arial"/>
          <w:sz w:val="24"/>
          <w:szCs w:val="21"/>
        </w:rPr>
        <w:t>时，审查机构应出具审查</w:t>
      </w:r>
      <w:r>
        <w:rPr>
          <w:rFonts w:hint="eastAsia" w:ascii="Arial" w:hAnsi="Arial" w:cs="Arial"/>
          <w:sz w:val="24"/>
          <w:szCs w:val="21"/>
          <w:lang w:val="en-US" w:eastAsia="zh-CN"/>
        </w:rPr>
        <w:t>整改意见</w:t>
      </w:r>
      <w:r>
        <w:rPr>
          <w:rFonts w:ascii="Arial" w:hAnsi="Arial" w:cs="Arial"/>
          <w:sz w:val="24"/>
          <w:szCs w:val="21"/>
        </w:rPr>
        <w:t>，说明不合格原因</w:t>
      </w:r>
      <w:r>
        <w:rPr>
          <w:rFonts w:hint="eastAsia" w:ascii="Arial" w:hAnsi="Arial" w:cs="Arial"/>
          <w:sz w:val="24"/>
          <w:szCs w:val="21"/>
          <w:lang w:val="en-US" w:eastAsia="zh-CN"/>
        </w:rPr>
        <w:t>退回修改，</w:t>
      </w:r>
      <w:r>
        <w:rPr>
          <w:rFonts w:hint="eastAsia" w:ascii="Arial" w:hAnsi="Arial" w:cs="Arial"/>
          <w:sz w:val="24"/>
          <w:szCs w:val="21"/>
        </w:rPr>
        <w:t>并上报</w:t>
      </w:r>
      <w:r>
        <w:rPr>
          <w:rFonts w:hint="eastAsia" w:ascii="Arial" w:hAnsi="Arial" w:cs="Arial"/>
          <w:sz w:val="24"/>
          <w:szCs w:val="21"/>
          <w:lang w:val="en-US" w:eastAsia="zh-CN"/>
        </w:rPr>
        <w:t>建设行政管理部门</w:t>
      </w:r>
      <w:r>
        <w:rPr>
          <w:rFonts w:ascii="Arial" w:hAnsi="Arial" w:cs="Arial"/>
          <w:sz w:val="24"/>
          <w:szCs w:val="21"/>
        </w:rPr>
        <w:t>。如设计未严格执行本要点的规定，应有充分依据</w:t>
      </w:r>
      <w:r>
        <w:rPr>
          <w:rFonts w:hint="eastAsia" w:ascii="Arial" w:hAnsi="Arial" w:cs="Arial"/>
          <w:sz w:val="24"/>
          <w:szCs w:val="21"/>
          <w:lang w:eastAsia="zh-CN"/>
        </w:rPr>
        <w:t>，</w:t>
      </w:r>
      <w:r>
        <w:rPr>
          <w:rFonts w:hint="eastAsia" w:ascii="Arial" w:hAnsi="Arial" w:cs="Arial"/>
          <w:sz w:val="24"/>
          <w:szCs w:val="21"/>
        </w:rPr>
        <w:t>可</w:t>
      </w:r>
      <w:r>
        <w:rPr>
          <w:rFonts w:ascii="Arial" w:hAnsi="Arial" w:cs="Arial"/>
          <w:sz w:val="24"/>
          <w:szCs w:val="21"/>
        </w:rPr>
        <w:t>按</w:t>
      </w:r>
      <w:r>
        <w:rPr>
          <w:rFonts w:hint="eastAsia" w:ascii="Arial" w:hAnsi="Arial" w:cs="Arial"/>
          <w:sz w:val="24"/>
          <w:szCs w:val="21"/>
        </w:rPr>
        <w:t>规范</w:t>
      </w:r>
      <w:r>
        <w:rPr>
          <w:rFonts w:ascii="Arial" w:hAnsi="Arial" w:cs="Arial"/>
          <w:sz w:val="24"/>
          <w:szCs w:val="21"/>
        </w:rPr>
        <w:t>用词的严格程度予以把握</w:t>
      </w:r>
      <w:r>
        <w:rPr>
          <w:rFonts w:hint="eastAsia" w:ascii="Arial" w:hAnsi="Arial" w:cs="Arial"/>
          <w:sz w:val="24"/>
          <w:szCs w:val="21"/>
        </w:rPr>
        <w:t>，</w:t>
      </w:r>
      <w:r>
        <w:rPr>
          <w:rFonts w:ascii="Arial" w:hAnsi="Arial" w:cs="Arial"/>
          <w:sz w:val="24"/>
          <w:szCs w:val="21"/>
        </w:rPr>
        <w:t>允许设计单位根据工程设计的实际需要，在不降低质量要求的前提下，采取行之有效的变通措施来解决问题，但应有充分依据。</w:t>
      </w:r>
    </w:p>
    <w:p>
      <w:pPr>
        <w:spacing w:line="360" w:lineRule="auto"/>
        <w:ind w:firstLine="480" w:firstLineChars="200"/>
        <w:rPr>
          <w:rFonts w:ascii="Arial" w:hAnsi="Arial" w:cs="Arial"/>
          <w:sz w:val="24"/>
          <w:szCs w:val="21"/>
        </w:rPr>
      </w:pPr>
      <w:r>
        <w:rPr>
          <w:rFonts w:hint="eastAsia" w:ascii="Arial" w:hAnsi="Arial" w:cs="Arial"/>
          <w:sz w:val="24"/>
          <w:szCs w:val="21"/>
        </w:rPr>
        <w:t>三</w:t>
      </w:r>
      <w:r>
        <w:rPr>
          <w:rFonts w:ascii="Arial" w:hAnsi="Arial" w:cs="Arial"/>
          <w:sz w:val="24"/>
          <w:szCs w:val="21"/>
        </w:rPr>
        <w:t>、</w:t>
      </w:r>
      <w:r>
        <w:rPr>
          <w:rFonts w:hint="eastAsia" w:ascii="Arial" w:hAnsi="Arial" w:cs="Arial"/>
          <w:sz w:val="24"/>
          <w:szCs w:val="21"/>
        </w:rPr>
        <w:t>《上海审查要点》</w:t>
      </w:r>
      <w:r>
        <w:rPr>
          <w:rFonts w:ascii="Arial" w:hAnsi="Arial" w:cs="Arial"/>
          <w:sz w:val="24"/>
          <w:szCs w:val="21"/>
        </w:rPr>
        <w:t>所列审查内容是保证工程设计质量的基本要求，并不是工程设计的全部内容。设计单位和设计人员应全面执行工程建设标准和法规的有关规定</w:t>
      </w:r>
      <w:r>
        <w:rPr>
          <w:rFonts w:hint="eastAsia" w:ascii="Arial" w:hAnsi="Arial" w:cs="Arial"/>
          <w:sz w:val="24"/>
          <w:szCs w:val="21"/>
        </w:rPr>
        <w:t>，</w:t>
      </w:r>
      <w:r>
        <w:rPr>
          <w:rFonts w:ascii="Arial" w:hAnsi="Arial" w:cs="Arial"/>
          <w:sz w:val="24"/>
          <w:szCs w:val="21"/>
        </w:rPr>
        <w:t>审查机构和审查人员应在理解工程建设标准和法规内涵的前提下执行本要点。</w:t>
      </w:r>
    </w:p>
    <w:p>
      <w:pPr>
        <w:spacing w:line="360" w:lineRule="auto"/>
        <w:ind w:firstLine="480" w:firstLineChars="200"/>
        <w:rPr>
          <w:rFonts w:ascii="Arial" w:hAnsi="Arial" w:cs="Arial"/>
          <w:sz w:val="24"/>
          <w:szCs w:val="21"/>
        </w:rPr>
        <w:sectPr>
          <w:footerReference r:id="rId6" w:type="default"/>
          <w:pgSz w:w="11906" w:h="16838"/>
          <w:pgMar w:top="1440" w:right="1800" w:bottom="1440" w:left="1800" w:header="851" w:footer="992" w:gutter="0"/>
          <w:pgNumType w:start="1"/>
          <w:cols w:space="425" w:num="1"/>
          <w:docGrid w:type="lines" w:linePitch="312" w:charSpace="0"/>
        </w:sectPr>
      </w:pPr>
      <w:r>
        <w:rPr>
          <w:rFonts w:hint="eastAsia" w:ascii="Arial" w:hAnsi="Arial" w:cs="Arial"/>
          <w:sz w:val="24"/>
          <w:szCs w:val="21"/>
        </w:rPr>
        <w:t>四</w:t>
      </w:r>
      <w:r>
        <w:rPr>
          <w:rFonts w:ascii="Arial" w:hAnsi="Arial" w:cs="Arial"/>
          <w:sz w:val="24"/>
          <w:szCs w:val="21"/>
        </w:rPr>
        <w:t>、</w:t>
      </w:r>
      <w:r>
        <w:rPr>
          <w:rFonts w:hint="eastAsia" w:ascii="Arial" w:hAnsi="Arial" w:cs="Arial"/>
          <w:sz w:val="24"/>
          <w:szCs w:val="21"/>
        </w:rPr>
        <w:t>《上海审查要点》</w:t>
      </w:r>
      <w:r>
        <w:rPr>
          <w:rFonts w:ascii="Arial" w:hAnsi="Arial" w:cs="Arial"/>
          <w:sz w:val="24"/>
          <w:szCs w:val="21"/>
        </w:rPr>
        <w:t>所列审查内容中</w:t>
      </w:r>
      <w:r>
        <w:rPr>
          <w:rFonts w:hint="eastAsia" w:ascii="Arial" w:hAnsi="Arial" w:cs="Arial"/>
          <w:sz w:val="24"/>
          <w:szCs w:val="21"/>
        </w:rPr>
        <w:t>，</w:t>
      </w:r>
      <w:r>
        <w:rPr>
          <w:rFonts w:ascii="Arial" w:hAnsi="Arial" w:cs="Arial"/>
          <w:sz w:val="24"/>
          <w:szCs w:val="21"/>
        </w:rPr>
        <w:t>强制性条文部分</w:t>
      </w:r>
      <w:r>
        <w:rPr>
          <w:rFonts w:hint="eastAsia" w:ascii="Arial" w:hAnsi="Arial" w:cs="Arial"/>
          <w:sz w:val="24"/>
          <w:szCs w:val="21"/>
        </w:rPr>
        <w:t>应按建设部第81号令《实施工程建设强制性标准监督规定》执行，非</w:t>
      </w:r>
      <w:r>
        <w:rPr>
          <w:rFonts w:ascii="Arial" w:hAnsi="Arial" w:cs="Arial"/>
          <w:sz w:val="24"/>
          <w:szCs w:val="21"/>
        </w:rPr>
        <w:t>强制性条文部分</w:t>
      </w:r>
      <w:r>
        <w:rPr>
          <w:rFonts w:hint="eastAsia" w:ascii="Arial" w:hAnsi="Arial" w:cs="Arial"/>
          <w:sz w:val="24"/>
          <w:szCs w:val="21"/>
        </w:rPr>
        <w:t>应按</w:t>
      </w:r>
      <w:r>
        <w:rPr>
          <w:rFonts w:ascii="Arial" w:hAnsi="Arial" w:cs="Arial"/>
          <w:sz w:val="24"/>
          <w:szCs w:val="21"/>
        </w:rPr>
        <w:t>住房城</w:t>
      </w:r>
    </w:p>
    <w:p>
      <w:pPr>
        <w:spacing w:line="360" w:lineRule="auto"/>
        <w:rPr>
          <w:rFonts w:ascii="Arial" w:hAnsi="Arial" w:cs="Arial"/>
          <w:sz w:val="24"/>
          <w:szCs w:val="21"/>
        </w:rPr>
      </w:pPr>
      <w:r>
        <w:rPr>
          <w:rFonts w:ascii="Arial" w:hAnsi="Arial" w:cs="Arial"/>
          <w:sz w:val="24"/>
          <w:szCs w:val="21"/>
        </w:rPr>
        <w:t>乡建设部</w:t>
      </w:r>
      <w:r>
        <w:rPr>
          <w:rFonts w:hint="eastAsia" w:ascii="Arial" w:hAnsi="Arial" w:cs="Arial"/>
          <w:sz w:val="24"/>
          <w:szCs w:val="21"/>
        </w:rPr>
        <w:t>《关于印发建筑工程施工图设计文件技术审查要点、市政公用工程施工图设计文件技术审查要点、岩土工程勘察文件技术审查要点的通知》（建质［2013］87号）精神执行</w:t>
      </w:r>
      <w:r>
        <w:rPr>
          <w:rFonts w:ascii="Arial" w:hAnsi="Arial" w:cs="Arial"/>
          <w:sz w:val="24"/>
          <w:szCs w:val="21"/>
        </w:rPr>
        <w:t>。</w:t>
      </w:r>
    </w:p>
    <w:p>
      <w:pPr>
        <w:spacing w:line="360" w:lineRule="auto"/>
        <w:ind w:firstLine="480" w:firstLineChars="200"/>
        <w:rPr>
          <w:rFonts w:ascii="Arial" w:hAnsi="Arial" w:cs="Arial"/>
          <w:sz w:val="24"/>
          <w:szCs w:val="21"/>
        </w:rPr>
      </w:pPr>
      <w:r>
        <w:rPr>
          <w:rFonts w:hint="eastAsia" w:ascii="Arial" w:hAnsi="Arial" w:cs="Arial"/>
          <w:sz w:val="24"/>
          <w:szCs w:val="21"/>
        </w:rPr>
        <w:t>五</w:t>
      </w:r>
      <w:r>
        <w:rPr>
          <w:rFonts w:ascii="Arial" w:hAnsi="Arial" w:cs="Arial"/>
          <w:sz w:val="24"/>
          <w:szCs w:val="21"/>
        </w:rPr>
        <w:t>、基于实际工程的复杂性，当出现可能直接涉及</w:t>
      </w:r>
      <w:r>
        <w:rPr>
          <w:rFonts w:hint="eastAsia" w:ascii="Arial" w:hAnsi="Arial" w:cs="Arial"/>
          <w:sz w:val="24"/>
          <w:szCs w:val="21"/>
        </w:rPr>
        <w:t>工程</w:t>
      </w:r>
      <w:r>
        <w:rPr>
          <w:rFonts w:ascii="Arial" w:hAnsi="Arial" w:cs="Arial"/>
          <w:sz w:val="24"/>
          <w:szCs w:val="21"/>
        </w:rPr>
        <w:t>安全的设计质量问题，但判断所依据的条款在</w:t>
      </w:r>
      <w:r>
        <w:rPr>
          <w:rFonts w:hint="eastAsia" w:ascii="Arial" w:hAnsi="Arial" w:cs="Arial"/>
          <w:sz w:val="24"/>
          <w:szCs w:val="21"/>
        </w:rPr>
        <w:t>本编制说明第一条</w:t>
      </w:r>
      <w:r>
        <w:rPr>
          <w:rFonts w:ascii="Arial" w:hAnsi="Arial" w:cs="Arial"/>
          <w:sz w:val="24"/>
          <w:szCs w:val="21"/>
        </w:rPr>
        <w:t>以外时，</w:t>
      </w:r>
      <w:r>
        <w:rPr>
          <w:rFonts w:hint="eastAsia" w:ascii="Arial" w:hAnsi="Arial" w:cs="Arial"/>
          <w:sz w:val="24"/>
          <w:szCs w:val="21"/>
        </w:rPr>
        <w:t>应</w:t>
      </w:r>
      <w:r>
        <w:rPr>
          <w:rFonts w:ascii="Arial" w:hAnsi="Arial" w:cs="Arial"/>
          <w:sz w:val="24"/>
          <w:szCs w:val="21"/>
        </w:rPr>
        <w:t>经审查机构</w:t>
      </w:r>
      <w:r>
        <w:rPr>
          <w:rFonts w:hint="eastAsia" w:ascii="Arial" w:hAnsi="Arial" w:cs="Arial"/>
          <w:sz w:val="24"/>
          <w:szCs w:val="21"/>
        </w:rPr>
        <w:t>内部</w:t>
      </w:r>
      <w:r>
        <w:rPr>
          <w:rFonts w:ascii="Arial" w:hAnsi="Arial" w:cs="Arial"/>
          <w:sz w:val="24"/>
          <w:szCs w:val="21"/>
        </w:rPr>
        <w:t>集体研究作出</w:t>
      </w:r>
      <w:r>
        <w:rPr>
          <w:rFonts w:hint="eastAsia" w:ascii="Arial" w:hAnsi="Arial" w:cs="Arial"/>
          <w:sz w:val="24"/>
          <w:szCs w:val="21"/>
        </w:rPr>
        <w:t>是否开具审查意见告知书的决定</w:t>
      </w:r>
      <w:r>
        <w:rPr>
          <w:rFonts w:ascii="Arial" w:hAnsi="Arial" w:cs="Arial"/>
          <w:sz w:val="24"/>
          <w:szCs w:val="21"/>
        </w:rPr>
        <w:t>，作为施工图设计文件是否合格的依据</w:t>
      </w:r>
      <w:r>
        <w:rPr>
          <w:rFonts w:hint="eastAsia" w:ascii="Arial" w:hAnsi="Arial" w:cs="Arial"/>
          <w:sz w:val="24"/>
          <w:szCs w:val="21"/>
        </w:rPr>
        <w:t>，如需开具的将具体内容上报</w:t>
      </w:r>
      <w:r>
        <w:rPr>
          <w:rFonts w:hint="eastAsia" w:ascii="Arial" w:hAnsi="Arial" w:cs="Arial"/>
          <w:sz w:val="24"/>
          <w:szCs w:val="21"/>
          <w:lang w:val="en-US" w:eastAsia="zh-CN"/>
        </w:rPr>
        <w:t>建设行政管理部门</w:t>
      </w:r>
      <w:r>
        <w:rPr>
          <w:rFonts w:ascii="Arial" w:hAnsi="Arial" w:cs="Arial"/>
          <w:sz w:val="24"/>
          <w:szCs w:val="21"/>
        </w:rPr>
        <w:t>。</w:t>
      </w:r>
    </w:p>
    <w:p>
      <w:pPr>
        <w:spacing w:line="360" w:lineRule="auto"/>
        <w:ind w:firstLine="480" w:firstLineChars="200"/>
        <w:rPr>
          <w:rFonts w:ascii="Arial" w:hAnsi="Arial" w:cs="Arial"/>
          <w:sz w:val="24"/>
          <w:szCs w:val="21"/>
        </w:rPr>
      </w:pPr>
      <w:r>
        <w:rPr>
          <w:rFonts w:hint="eastAsia" w:ascii="Arial" w:hAnsi="Arial" w:cs="Arial"/>
          <w:sz w:val="24"/>
          <w:szCs w:val="21"/>
        </w:rPr>
        <w:t>施工图设计文件深度不满足要求时，施工图审查人员应根据深度问题对工程可能产生实际影响的严重性，</w:t>
      </w:r>
      <w:r>
        <w:rPr>
          <w:rFonts w:ascii="Arial" w:hAnsi="Arial" w:cs="Arial"/>
          <w:sz w:val="24"/>
          <w:szCs w:val="21"/>
        </w:rPr>
        <w:t>作为</w:t>
      </w:r>
      <w:r>
        <w:rPr>
          <w:rFonts w:hint="eastAsia" w:ascii="Arial" w:hAnsi="Arial" w:cs="Arial"/>
          <w:sz w:val="24"/>
          <w:szCs w:val="21"/>
        </w:rPr>
        <w:t>判断</w:t>
      </w:r>
      <w:r>
        <w:rPr>
          <w:rFonts w:ascii="Arial" w:hAnsi="Arial" w:cs="Arial"/>
          <w:sz w:val="24"/>
          <w:szCs w:val="21"/>
        </w:rPr>
        <w:t>施工图设计文件是否合格的依据。</w:t>
      </w:r>
    </w:p>
    <w:p>
      <w:pPr>
        <w:spacing w:line="360" w:lineRule="auto"/>
        <w:ind w:firstLine="480" w:firstLineChars="200"/>
        <w:rPr>
          <w:rFonts w:ascii="Arial" w:hAnsi="Arial" w:cs="Arial"/>
          <w:sz w:val="24"/>
          <w:szCs w:val="21"/>
        </w:rPr>
      </w:pPr>
      <w:r>
        <w:rPr>
          <w:rFonts w:hint="eastAsia" w:ascii="Arial" w:hAnsi="Arial" w:cs="Arial"/>
          <w:sz w:val="24"/>
          <w:szCs w:val="21"/>
        </w:rPr>
        <w:t>六</w:t>
      </w:r>
      <w:r>
        <w:rPr>
          <w:rFonts w:ascii="Arial" w:hAnsi="Arial" w:cs="Arial"/>
          <w:sz w:val="24"/>
          <w:szCs w:val="21"/>
        </w:rPr>
        <w:t>、</w:t>
      </w:r>
      <w:r>
        <w:rPr>
          <w:rFonts w:hint="eastAsia" w:ascii="Arial" w:hAnsi="Arial" w:cs="Arial"/>
          <w:sz w:val="24"/>
          <w:szCs w:val="21"/>
        </w:rPr>
        <w:t>《上海审查要点》</w:t>
      </w:r>
      <w:r>
        <w:rPr>
          <w:rFonts w:ascii="Arial" w:hAnsi="Arial" w:cs="Arial"/>
          <w:sz w:val="24"/>
          <w:szCs w:val="21"/>
        </w:rPr>
        <w:t>主要依据</w:t>
      </w:r>
      <w:r>
        <w:rPr>
          <w:rFonts w:hint="eastAsia" w:ascii="Arial" w:hAnsi="Arial" w:cs="Arial"/>
          <w:sz w:val="24"/>
          <w:szCs w:val="21"/>
          <w:highlight w:val="none"/>
        </w:rPr>
        <w:t>2022年9月底</w:t>
      </w:r>
      <w:r>
        <w:rPr>
          <w:rFonts w:ascii="Arial" w:hAnsi="Arial" w:cs="Arial"/>
          <w:sz w:val="24"/>
          <w:szCs w:val="21"/>
          <w:highlight w:val="none"/>
        </w:rPr>
        <w:t>之</w:t>
      </w:r>
      <w:r>
        <w:rPr>
          <w:rFonts w:ascii="Arial" w:hAnsi="Arial" w:cs="Arial"/>
          <w:sz w:val="24"/>
          <w:szCs w:val="21"/>
        </w:rPr>
        <w:t>前发布的上海市地方法规和实施的工程建设标准编制，在此之后如有新版法规和工程建设标准实施，应以新版法规和工程建设标准为准。</w:t>
      </w:r>
    </w:p>
    <w:p>
      <w:pPr>
        <w:spacing w:line="360" w:lineRule="auto"/>
        <w:ind w:firstLine="480" w:firstLineChars="200"/>
        <w:rPr>
          <w:rFonts w:hint="eastAsia" w:ascii="Arial" w:hAnsi="Arial" w:cs="Arial"/>
          <w:sz w:val="24"/>
          <w:szCs w:val="21"/>
        </w:rPr>
      </w:pPr>
      <w:r>
        <w:rPr>
          <w:rFonts w:hint="eastAsia" w:ascii="Arial" w:hAnsi="Arial" w:cs="Arial"/>
          <w:sz w:val="24"/>
          <w:szCs w:val="21"/>
        </w:rPr>
        <w:t>七、《上海审查要点》自</w:t>
      </w:r>
      <w:r>
        <w:rPr>
          <w:rFonts w:hint="eastAsia" w:ascii="Arial" w:hAnsi="Arial" w:cs="Arial"/>
          <w:sz w:val="24"/>
          <w:szCs w:val="21"/>
          <w:lang w:val="en-US" w:eastAsia="zh-CN"/>
        </w:rPr>
        <w:t>发布之日</w:t>
      </w:r>
      <w:r>
        <w:rPr>
          <w:rFonts w:hint="eastAsia" w:ascii="Arial" w:hAnsi="Arial" w:cs="Arial"/>
          <w:sz w:val="24"/>
          <w:szCs w:val="21"/>
        </w:rPr>
        <w:t>起执行。</w:t>
      </w:r>
    </w:p>
    <w:p>
      <w:pPr>
        <w:spacing w:line="360" w:lineRule="auto"/>
        <w:ind w:firstLine="480" w:firstLineChars="200"/>
        <w:rPr>
          <w:rFonts w:ascii="Arial" w:hAnsi="Arial" w:cs="Arial"/>
          <w:sz w:val="24"/>
          <w:szCs w:val="24"/>
        </w:rPr>
      </w:pPr>
    </w:p>
    <w:p>
      <w:pPr>
        <w:spacing w:line="360" w:lineRule="auto"/>
        <w:ind w:firstLine="480" w:firstLineChars="200"/>
        <w:rPr>
          <w:rFonts w:ascii="Arial" w:hAnsi="Arial" w:cs="Arial"/>
          <w:sz w:val="24"/>
          <w:szCs w:val="24"/>
        </w:rPr>
      </w:pPr>
    </w:p>
    <w:p>
      <w:pPr>
        <w:spacing w:line="360" w:lineRule="auto"/>
        <w:ind w:firstLine="480" w:firstLineChars="200"/>
        <w:rPr>
          <w:rFonts w:ascii="Arial" w:hAnsi="Arial" w:cs="Arial"/>
          <w:sz w:val="24"/>
          <w:szCs w:val="24"/>
        </w:rPr>
      </w:pPr>
    </w:p>
    <w:p>
      <w:pPr>
        <w:spacing w:line="360" w:lineRule="auto"/>
        <w:ind w:firstLine="480" w:firstLineChars="200"/>
        <w:rPr>
          <w:rFonts w:ascii="Arial" w:hAnsi="Arial" w:cs="Arial"/>
          <w:sz w:val="24"/>
          <w:szCs w:val="24"/>
        </w:rPr>
      </w:pPr>
    </w:p>
    <w:p>
      <w:pPr>
        <w:spacing w:line="360" w:lineRule="auto"/>
        <w:ind w:firstLine="480" w:firstLineChars="200"/>
        <w:rPr>
          <w:rFonts w:ascii="Arial" w:hAnsi="Arial" w:cs="Arial"/>
          <w:sz w:val="24"/>
          <w:szCs w:val="24"/>
        </w:rPr>
      </w:pPr>
    </w:p>
    <w:p>
      <w:pPr>
        <w:spacing w:line="360" w:lineRule="auto"/>
        <w:ind w:firstLine="480" w:firstLineChars="200"/>
        <w:rPr>
          <w:rFonts w:ascii="Arial" w:hAnsi="Arial" w:cs="Arial"/>
          <w:sz w:val="24"/>
          <w:szCs w:val="24"/>
        </w:rPr>
      </w:pPr>
    </w:p>
    <w:p>
      <w:pPr>
        <w:spacing w:line="360" w:lineRule="auto"/>
        <w:ind w:firstLine="480" w:firstLineChars="200"/>
        <w:rPr>
          <w:rFonts w:ascii="Arial" w:hAnsi="Arial" w:cs="Arial"/>
          <w:sz w:val="24"/>
          <w:szCs w:val="24"/>
        </w:rPr>
      </w:pPr>
    </w:p>
    <w:p>
      <w:pPr>
        <w:spacing w:line="360" w:lineRule="auto"/>
        <w:ind w:firstLine="480" w:firstLineChars="200"/>
        <w:rPr>
          <w:rFonts w:ascii="Arial" w:hAnsi="Arial" w:cs="Arial"/>
          <w:sz w:val="24"/>
          <w:szCs w:val="24"/>
        </w:rPr>
      </w:pPr>
    </w:p>
    <w:p>
      <w:pPr>
        <w:spacing w:line="360" w:lineRule="auto"/>
        <w:ind w:firstLine="480" w:firstLineChars="200"/>
        <w:rPr>
          <w:rFonts w:ascii="Arial" w:hAnsi="Arial" w:cs="Arial"/>
          <w:sz w:val="24"/>
          <w:szCs w:val="24"/>
        </w:rPr>
      </w:pPr>
    </w:p>
    <w:p>
      <w:pPr>
        <w:spacing w:line="360" w:lineRule="auto"/>
        <w:ind w:firstLine="480" w:firstLineChars="200"/>
        <w:rPr>
          <w:rFonts w:ascii="Arial" w:hAnsi="Arial" w:cs="Arial"/>
          <w:sz w:val="24"/>
          <w:szCs w:val="24"/>
        </w:rPr>
      </w:pPr>
    </w:p>
    <w:p>
      <w:pPr>
        <w:spacing w:line="360" w:lineRule="auto"/>
        <w:ind w:firstLine="480" w:firstLineChars="200"/>
        <w:rPr>
          <w:rFonts w:ascii="Arial" w:hAnsi="Arial" w:cs="Arial"/>
          <w:sz w:val="24"/>
          <w:szCs w:val="24"/>
        </w:rPr>
      </w:pPr>
    </w:p>
    <w:p>
      <w:pPr>
        <w:spacing w:line="360" w:lineRule="auto"/>
        <w:ind w:firstLine="480" w:firstLineChars="200"/>
        <w:rPr>
          <w:rFonts w:ascii="Arial" w:hAnsi="Arial" w:cs="Arial"/>
          <w:sz w:val="24"/>
          <w:szCs w:val="24"/>
        </w:rPr>
      </w:pPr>
    </w:p>
    <w:p>
      <w:pPr>
        <w:widowControl/>
        <w:jc w:val="center"/>
        <w:rPr>
          <w:rFonts w:ascii="Arial" w:hAnsi="Arial" w:eastAsia="黑体" w:cs="Arial"/>
          <w:sz w:val="32"/>
        </w:rPr>
        <w:sectPr>
          <w:footerReference r:id="rId7" w:type="default"/>
          <w:pgSz w:w="11906" w:h="16838"/>
          <w:pgMar w:top="1440" w:right="1800" w:bottom="1440" w:left="1800" w:header="851" w:footer="992" w:gutter="0"/>
          <w:pgNumType w:start="1"/>
          <w:cols w:space="425" w:num="1"/>
          <w:docGrid w:type="lines" w:linePitch="312" w:charSpace="0"/>
        </w:sectPr>
      </w:pPr>
    </w:p>
    <w:p>
      <w:pPr>
        <w:widowControl/>
        <w:jc w:val="center"/>
        <w:rPr>
          <w:rFonts w:ascii="Arial" w:hAnsi="Arial" w:eastAsia="黑体" w:cs="Arial"/>
          <w:sz w:val="32"/>
        </w:rPr>
      </w:pPr>
      <w:r>
        <w:rPr>
          <w:rFonts w:ascii="Arial" w:hAnsi="Arial" w:eastAsia="黑体" w:cs="Arial"/>
          <w:sz w:val="32"/>
        </w:rPr>
        <w:t>目 录</w:t>
      </w:r>
    </w:p>
    <w:p>
      <w:pPr>
        <w:widowControl/>
        <w:jc w:val="center"/>
        <w:rPr>
          <w:rFonts w:ascii="Arial" w:hAnsi="Arial" w:eastAsia="黑体" w:cs="Arial"/>
          <w:sz w:val="32"/>
        </w:rPr>
      </w:pPr>
    </w:p>
    <w:p>
      <w:pPr>
        <w:pStyle w:val="17"/>
        <w:rPr>
          <w:rFonts w:asciiTheme="minorHAnsi" w:hAnsiTheme="minorHAnsi" w:eastAsiaTheme="minorEastAsia" w:cstheme="minorBidi"/>
          <w:sz w:val="21"/>
          <w:szCs w:val="22"/>
        </w:rPr>
      </w:pPr>
      <w:r>
        <w:rPr>
          <w:rFonts w:ascii="Arial" w:hAnsi="Arial" w:cs="Arial"/>
          <w:b/>
          <w:sz w:val="21"/>
          <w:szCs w:val="21"/>
        </w:rPr>
        <w:fldChar w:fldCharType="begin"/>
      </w:r>
      <w:r>
        <w:rPr>
          <w:rFonts w:ascii="Arial" w:hAnsi="Arial" w:cs="Arial"/>
          <w:sz w:val="21"/>
          <w:szCs w:val="21"/>
        </w:rPr>
        <w:instrText xml:space="preserve"> TOC \o "1-3" \h \z \u </w:instrText>
      </w:r>
      <w:r>
        <w:rPr>
          <w:rFonts w:ascii="Arial" w:hAnsi="Arial" w:cs="Arial"/>
          <w:b/>
          <w:sz w:val="21"/>
          <w:szCs w:val="21"/>
        </w:rPr>
        <w:fldChar w:fldCharType="separate"/>
      </w:r>
      <w:r>
        <w:fldChar w:fldCharType="begin"/>
      </w:r>
      <w:r>
        <w:instrText xml:space="preserve"> HYPERLINK \l "_Toc118119901" </w:instrText>
      </w:r>
      <w:r>
        <w:fldChar w:fldCharType="separate"/>
      </w:r>
      <w:r>
        <w:rPr>
          <w:rStyle w:val="28"/>
          <w:rFonts w:hint="eastAsia"/>
        </w:rPr>
        <w:t>一、</w:t>
      </w:r>
      <w:r>
        <w:rPr>
          <w:rFonts w:asciiTheme="minorHAnsi" w:hAnsiTheme="minorHAnsi" w:eastAsiaTheme="minorEastAsia" w:cstheme="minorBidi"/>
          <w:sz w:val="21"/>
          <w:szCs w:val="22"/>
        </w:rPr>
        <w:tab/>
      </w:r>
      <w:r>
        <w:rPr>
          <w:rStyle w:val="28"/>
          <w:rFonts w:hint="eastAsia"/>
        </w:rPr>
        <w:t>建筑专业</w:t>
      </w:r>
      <w:r>
        <w:tab/>
      </w:r>
      <w:r>
        <w:rPr>
          <w:rFonts w:hint="eastAsia"/>
          <w:lang w:val="en-US" w:eastAsia="zh-CN"/>
        </w:rPr>
        <w:t>1</w:t>
      </w:r>
      <w:r>
        <w:fldChar w:fldCharType="end"/>
      </w:r>
    </w:p>
    <w:p>
      <w:pPr>
        <w:pStyle w:val="20"/>
        <w:tabs>
          <w:tab w:val="left" w:pos="574"/>
          <w:tab w:val="clear" w:pos="1050"/>
        </w:tabs>
        <w:rPr>
          <w:rFonts w:asciiTheme="minorHAnsi" w:hAnsiTheme="minorHAnsi" w:eastAsiaTheme="minorEastAsia" w:cstheme="minorBidi"/>
          <w:sz w:val="21"/>
          <w:szCs w:val="22"/>
        </w:rPr>
      </w:pPr>
      <w:r>
        <w:fldChar w:fldCharType="begin"/>
      </w:r>
      <w:r>
        <w:instrText xml:space="preserve"> HYPERLINK \l "_Toc118119902" </w:instrText>
      </w:r>
      <w:r>
        <w:fldChar w:fldCharType="separate"/>
      </w:r>
      <w:r>
        <w:rPr>
          <w:rStyle w:val="28"/>
        </w:rPr>
        <w:t>1.1</w:t>
      </w:r>
      <w:r>
        <w:rPr>
          <w:rFonts w:asciiTheme="minorHAnsi" w:hAnsiTheme="minorHAnsi" w:eastAsiaTheme="minorEastAsia" w:cstheme="minorBidi"/>
          <w:sz w:val="21"/>
          <w:szCs w:val="22"/>
        </w:rPr>
        <w:tab/>
      </w:r>
      <w:r>
        <w:rPr>
          <w:rStyle w:val="28"/>
          <w:rFonts w:hint="eastAsia"/>
        </w:rPr>
        <w:t>建筑设计</w:t>
      </w:r>
      <w:r>
        <w:tab/>
      </w:r>
      <w:r>
        <w:rPr>
          <w:rFonts w:hint="eastAsia"/>
          <w:lang w:val="en-US" w:eastAsia="zh-CN"/>
        </w:rPr>
        <w:t>1</w:t>
      </w:r>
      <w:r>
        <w:fldChar w:fldCharType="end"/>
      </w:r>
    </w:p>
    <w:p>
      <w:pPr>
        <w:pStyle w:val="20"/>
        <w:tabs>
          <w:tab w:val="left" w:pos="574"/>
          <w:tab w:val="clear" w:pos="1050"/>
        </w:tabs>
        <w:rPr>
          <w:rFonts w:asciiTheme="minorHAnsi" w:hAnsiTheme="minorHAnsi" w:eastAsiaTheme="minorEastAsia" w:cstheme="minorBidi"/>
          <w:sz w:val="21"/>
          <w:szCs w:val="22"/>
        </w:rPr>
      </w:pPr>
      <w:r>
        <w:fldChar w:fldCharType="begin"/>
      </w:r>
      <w:r>
        <w:instrText xml:space="preserve"> HYPERLINK \l "_Toc118119903" </w:instrText>
      </w:r>
      <w:r>
        <w:fldChar w:fldCharType="separate"/>
      </w:r>
      <w:r>
        <w:rPr>
          <w:rStyle w:val="28"/>
        </w:rPr>
        <w:t>1.2</w:t>
      </w:r>
      <w:r>
        <w:rPr>
          <w:rFonts w:asciiTheme="minorHAnsi" w:hAnsiTheme="minorHAnsi" w:eastAsiaTheme="minorEastAsia" w:cstheme="minorBidi"/>
          <w:sz w:val="21"/>
          <w:szCs w:val="22"/>
        </w:rPr>
        <w:tab/>
      </w:r>
      <w:r>
        <w:rPr>
          <w:rStyle w:val="28"/>
          <w:rFonts w:hint="eastAsia"/>
        </w:rPr>
        <w:t>建筑防火</w:t>
      </w:r>
      <w:r>
        <w:tab/>
      </w:r>
      <w:r>
        <w:rPr>
          <w:rFonts w:hint="eastAsia"/>
          <w:lang w:val="en-US" w:eastAsia="zh-CN"/>
        </w:rPr>
        <w:t>3</w:t>
      </w:r>
      <w:r>
        <w:fldChar w:fldCharType="end"/>
      </w:r>
    </w:p>
    <w:p>
      <w:pPr>
        <w:pStyle w:val="20"/>
        <w:tabs>
          <w:tab w:val="left" w:pos="574"/>
          <w:tab w:val="clear" w:pos="1050"/>
        </w:tabs>
        <w:rPr>
          <w:rFonts w:asciiTheme="minorHAnsi" w:hAnsiTheme="minorHAnsi" w:eastAsiaTheme="minorEastAsia" w:cstheme="minorBidi"/>
          <w:sz w:val="21"/>
          <w:szCs w:val="22"/>
        </w:rPr>
      </w:pPr>
      <w:r>
        <w:fldChar w:fldCharType="begin"/>
      </w:r>
      <w:r>
        <w:instrText xml:space="preserve"> HYPERLINK \l "_Toc118119904" </w:instrText>
      </w:r>
      <w:r>
        <w:fldChar w:fldCharType="separate"/>
      </w:r>
      <w:r>
        <w:rPr>
          <w:rStyle w:val="28"/>
        </w:rPr>
        <w:t>1.3</w:t>
      </w:r>
      <w:r>
        <w:rPr>
          <w:rFonts w:asciiTheme="minorHAnsi" w:hAnsiTheme="minorHAnsi" w:eastAsiaTheme="minorEastAsia" w:cstheme="minorBidi"/>
          <w:sz w:val="21"/>
          <w:szCs w:val="22"/>
        </w:rPr>
        <w:tab/>
      </w:r>
      <w:r>
        <w:rPr>
          <w:rStyle w:val="28"/>
          <w:rFonts w:hint="eastAsia"/>
        </w:rPr>
        <w:t>建筑节能</w:t>
      </w:r>
      <w:r>
        <w:tab/>
      </w:r>
      <w:r>
        <w:rPr>
          <w:rFonts w:hint="eastAsia"/>
          <w:lang w:val="en-US" w:eastAsia="zh-CN"/>
        </w:rPr>
        <w:t>6</w:t>
      </w:r>
      <w:r>
        <w:fldChar w:fldCharType="end"/>
      </w:r>
    </w:p>
    <w:p>
      <w:pPr>
        <w:pStyle w:val="20"/>
        <w:tabs>
          <w:tab w:val="left" w:pos="574"/>
          <w:tab w:val="clear" w:pos="1050"/>
        </w:tabs>
        <w:rPr>
          <w:rFonts w:asciiTheme="minorHAnsi" w:hAnsiTheme="minorHAnsi" w:eastAsiaTheme="minorEastAsia" w:cstheme="minorBidi"/>
          <w:sz w:val="21"/>
          <w:szCs w:val="22"/>
        </w:rPr>
      </w:pPr>
      <w:r>
        <w:fldChar w:fldCharType="begin"/>
      </w:r>
      <w:r>
        <w:instrText xml:space="preserve"> HYPERLINK \l "_Toc118119905" </w:instrText>
      </w:r>
      <w:r>
        <w:fldChar w:fldCharType="separate"/>
      </w:r>
      <w:r>
        <w:rPr>
          <w:rStyle w:val="28"/>
        </w:rPr>
        <w:t>1.4</w:t>
      </w:r>
      <w:r>
        <w:rPr>
          <w:rFonts w:asciiTheme="minorHAnsi" w:hAnsiTheme="minorHAnsi" w:eastAsiaTheme="minorEastAsia" w:cstheme="minorBidi"/>
          <w:sz w:val="21"/>
          <w:szCs w:val="22"/>
        </w:rPr>
        <w:tab/>
      </w:r>
      <w:r>
        <w:rPr>
          <w:rStyle w:val="28"/>
          <w:rFonts w:hint="eastAsia"/>
        </w:rPr>
        <w:t>引用标准名录及条款号</w:t>
      </w:r>
      <w:r>
        <w:tab/>
      </w:r>
      <w:r>
        <w:rPr>
          <w:rFonts w:hint="eastAsia"/>
          <w:lang w:val="en-US" w:eastAsia="zh-CN"/>
        </w:rPr>
        <w:t>7</w:t>
      </w:r>
      <w:r>
        <w:fldChar w:fldCharType="end"/>
      </w:r>
    </w:p>
    <w:p>
      <w:pPr>
        <w:pStyle w:val="17"/>
        <w:rPr>
          <w:rFonts w:asciiTheme="minorHAnsi" w:hAnsiTheme="minorHAnsi" w:eastAsiaTheme="minorEastAsia" w:cstheme="minorBidi"/>
          <w:sz w:val="21"/>
          <w:szCs w:val="22"/>
        </w:rPr>
      </w:pPr>
      <w:r>
        <w:fldChar w:fldCharType="begin"/>
      </w:r>
      <w:r>
        <w:instrText xml:space="preserve"> HYPERLINK \l "_Toc118119906" </w:instrText>
      </w:r>
      <w:r>
        <w:fldChar w:fldCharType="separate"/>
      </w:r>
      <w:r>
        <w:rPr>
          <w:rStyle w:val="28"/>
          <w:rFonts w:hint="eastAsia" w:cs="Arial"/>
        </w:rPr>
        <w:t>二、</w:t>
      </w:r>
      <w:r>
        <w:rPr>
          <w:rFonts w:asciiTheme="minorHAnsi" w:hAnsiTheme="minorHAnsi" w:eastAsiaTheme="minorEastAsia" w:cstheme="minorBidi"/>
          <w:sz w:val="21"/>
          <w:szCs w:val="22"/>
        </w:rPr>
        <w:tab/>
      </w:r>
      <w:r>
        <w:rPr>
          <w:rStyle w:val="28"/>
          <w:rFonts w:hint="eastAsia"/>
        </w:rPr>
        <w:t>结构专业</w:t>
      </w:r>
      <w:r>
        <w:tab/>
      </w:r>
      <w:r>
        <w:rPr>
          <w:rFonts w:hint="eastAsia"/>
          <w:lang w:val="en-US" w:eastAsia="zh-CN"/>
        </w:rPr>
        <w:t>8</w:t>
      </w:r>
      <w:r>
        <w:fldChar w:fldCharType="end"/>
      </w:r>
    </w:p>
    <w:p>
      <w:pPr>
        <w:pStyle w:val="20"/>
        <w:rPr>
          <w:rFonts w:asciiTheme="minorHAnsi" w:hAnsiTheme="minorHAnsi" w:eastAsiaTheme="minorEastAsia" w:cstheme="minorBidi"/>
          <w:sz w:val="21"/>
          <w:szCs w:val="22"/>
        </w:rPr>
      </w:pPr>
      <w:r>
        <w:fldChar w:fldCharType="begin"/>
      </w:r>
      <w:r>
        <w:instrText xml:space="preserve"> HYPERLINK \l "_Toc118119907" </w:instrText>
      </w:r>
      <w:r>
        <w:fldChar w:fldCharType="separate"/>
      </w:r>
      <w:r>
        <w:rPr>
          <w:rStyle w:val="28"/>
        </w:rPr>
        <w:t xml:space="preserve">2.1  </w:t>
      </w:r>
      <w:r>
        <w:rPr>
          <w:rStyle w:val="28"/>
          <w:rFonts w:hint="eastAsia"/>
        </w:rPr>
        <w:t>地基基础</w:t>
      </w:r>
      <w:r>
        <w:tab/>
      </w:r>
      <w:r>
        <w:rPr>
          <w:rFonts w:hint="eastAsia"/>
          <w:lang w:val="en-US" w:eastAsia="zh-CN"/>
        </w:rPr>
        <w:t>8</w:t>
      </w:r>
      <w:r>
        <w:fldChar w:fldCharType="end"/>
      </w:r>
    </w:p>
    <w:p>
      <w:pPr>
        <w:pStyle w:val="20"/>
        <w:rPr>
          <w:rFonts w:asciiTheme="minorHAnsi" w:hAnsiTheme="minorHAnsi" w:eastAsiaTheme="minorEastAsia" w:cstheme="minorBidi"/>
          <w:sz w:val="21"/>
          <w:szCs w:val="22"/>
        </w:rPr>
      </w:pPr>
      <w:r>
        <w:fldChar w:fldCharType="begin"/>
      </w:r>
      <w:r>
        <w:instrText xml:space="preserve"> HYPERLINK \l "_Toc118119908" </w:instrText>
      </w:r>
      <w:r>
        <w:fldChar w:fldCharType="separate"/>
      </w:r>
      <w:r>
        <w:rPr>
          <w:rStyle w:val="28"/>
        </w:rPr>
        <w:t xml:space="preserve">2.2  </w:t>
      </w:r>
      <w:r>
        <w:rPr>
          <w:rStyle w:val="28"/>
          <w:rFonts w:hint="eastAsia"/>
        </w:rPr>
        <w:t>结构设计</w:t>
      </w:r>
      <w:r>
        <w:tab/>
      </w:r>
      <w:r>
        <w:fldChar w:fldCharType="begin"/>
      </w:r>
      <w:r>
        <w:instrText xml:space="preserve"> PAGEREF _Toc118119908 \h </w:instrText>
      </w:r>
      <w:r>
        <w:fldChar w:fldCharType="separate"/>
      </w:r>
      <w:r>
        <w:t>2</w:t>
      </w:r>
      <w:r>
        <w:rPr>
          <w:rFonts w:hint="eastAsia"/>
          <w:lang w:val="en-US" w:eastAsia="zh-CN"/>
        </w:rPr>
        <w:t>3</w:t>
      </w:r>
      <w:r>
        <w:fldChar w:fldCharType="end"/>
      </w:r>
      <w:r>
        <w:fldChar w:fldCharType="end"/>
      </w:r>
    </w:p>
    <w:p>
      <w:pPr>
        <w:pStyle w:val="20"/>
        <w:rPr>
          <w:rFonts w:hint="eastAsia" w:eastAsia="宋体" w:asciiTheme="minorHAnsi" w:hAnsiTheme="minorHAnsi" w:cstheme="minorBidi"/>
          <w:sz w:val="21"/>
          <w:szCs w:val="22"/>
          <w:lang w:val="en-US" w:eastAsia="zh-CN"/>
        </w:rPr>
      </w:pPr>
      <w:r>
        <w:fldChar w:fldCharType="begin"/>
      </w:r>
      <w:r>
        <w:instrText xml:space="preserve"> HYPERLINK \l "_Toc118119909" </w:instrText>
      </w:r>
      <w:r>
        <w:fldChar w:fldCharType="separate"/>
      </w:r>
      <w:r>
        <w:rPr>
          <w:rStyle w:val="28"/>
        </w:rPr>
        <w:t xml:space="preserve">2.3  </w:t>
      </w:r>
      <w:r>
        <w:rPr>
          <w:rStyle w:val="28"/>
          <w:rFonts w:hint="eastAsia"/>
        </w:rPr>
        <w:t>抗震设计</w:t>
      </w:r>
      <w:r>
        <w:tab/>
      </w:r>
      <w:r>
        <w:fldChar w:fldCharType="begin"/>
      </w:r>
      <w:r>
        <w:instrText xml:space="preserve"> PAGEREF _Toc118119909 \h </w:instrText>
      </w:r>
      <w:r>
        <w:fldChar w:fldCharType="separate"/>
      </w:r>
      <w:r>
        <w:t>3</w:t>
      </w:r>
      <w:r>
        <w:fldChar w:fldCharType="end"/>
      </w:r>
      <w:r>
        <w:fldChar w:fldCharType="end"/>
      </w:r>
      <w:r>
        <w:rPr>
          <w:rFonts w:hint="eastAsia"/>
          <w:lang w:val="en-US" w:eastAsia="zh-CN"/>
        </w:rPr>
        <w:t>4</w:t>
      </w:r>
    </w:p>
    <w:p>
      <w:pPr>
        <w:pStyle w:val="20"/>
        <w:rPr>
          <w:rFonts w:hint="eastAsia" w:eastAsia="宋体" w:asciiTheme="minorHAnsi" w:hAnsiTheme="minorHAnsi" w:cstheme="minorBidi"/>
          <w:sz w:val="21"/>
          <w:szCs w:val="22"/>
          <w:lang w:val="en-US" w:eastAsia="zh-CN"/>
        </w:rPr>
      </w:pPr>
      <w:r>
        <w:fldChar w:fldCharType="begin"/>
      </w:r>
      <w:r>
        <w:instrText xml:space="preserve"> HYPERLINK \l "_Toc118119910" </w:instrText>
      </w:r>
      <w:r>
        <w:fldChar w:fldCharType="separate"/>
      </w:r>
      <w:r>
        <w:rPr>
          <w:rStyle w:val="28"/>
        </w:rPr>
        <w:t xml:space="preserve">2.4  </w:t>
      </w:r>
      <w:r>
        <w:rPr>
          <w:rStyle w:val="28"/>
          <w:rFonts w:hint="eastAsia"/>
        </w:rPr>
        <w:t>引用标准名录及条款号</w:t>
      </w:r>
      <w:r>
        <w:tab/>
      </w:r>
      <w:r>
        <w:rPr>
          <w:rFonts w:hint="eastAsia"/>
          <w:lang w:val="en-US" w:eastAsia="zh-CN"/>
        </w:rPr>
        <w:t>7</w:t>
      </w:r>
      <w:r>
        <w:fldChar w:fldCharType="end"/>
      </w:r>
      <w:r>
        <w:rPr>
          <w:rFonts w:hint="eastAsia"/>
          <w:lang w:val="en-US" w:eastAsia="zh-CN"/>
        </w:rPr>
        <w:t>3</w:t>
      </w:r>
    </w:p>
    <w:p>
      <w:pPr>
        <w:pStyle w:val="17"/>
        <w:rPr>
          <w:rFonts w:hint="eastAsia" w:eastAsia="宋体" w:asciiTheme="minorHAnsi" w:hAnsiTheme="minorHAnsi" w:cstheme="minorBidi"/>
          <w:sz w:val="21"/>
          <w:szCs w:val="22"/>
          <w:lang w:val="en-US" w:eastAsia="zh-CN"/>
        </w:rPr>
      </w:pPr>
      <w:r>
        <w:fldChar w:fldCharType="begin"/>
      </w:r>
      <w:r>
        <w:instrText xml:space="preserve"> HYPERLINK \l "_Toc118119911" </w:instrText>
      </w:r>
      <w:r>
        <w:fldChar w:fldCharType="separate"/>
      </w:r>
      <w:r>
        <w:rPr>
          <w:rStyle w:val="28"/>
          <w:rFonts w:hint="eastAsia"/>
        </w:rPr>
        <w:t>三、</w:t>
      </w:r>
      <w:r>
        <w:rPr>
          <w:rFonts w:asciiTheme="minorHAnsi" w:hAnsiTheme="minorHAnsi" w:eastAsiaTheme="minorEastAsia" w:cstheme="minorBidi"/>
          <w:sz w:val="21"/>
          <w:szCs w:val="22"/>
        </w:rPr>
        <w:tab/>
      </w:r>
      <w:r>
        <w:rPr>
          <w:rStyle w:val="28"/>
          <w:rFonts w:hint="eastAsia"/>
        </w:rPr>
        <w:t>附录</w:t>
      </w:r>
      <w:r>
        <w:rPr>
          <w:rStyle w:val="28"/>
          <w:rFonts w:hint="eastAsia"/>
          <w:lang w:val="en-US" w:eastAsia="zh-CN"/>
        </w:rPr>
        <w:t xml:space="preserve"> </w:t>
      </w:r>
      <w:r>
        <w:rPr>
          <w:rStyle w:val="28"/>
          <w:rFonts w:hint="eastAsia"/>
        </w:rPr>
        <w:t>近年</w:t>
      </w:r>
      <w:r>
        <w:rPr>
          <w:rStyle w:val="28"/>
          <w:rFonts w:hint="eastAsia"/>
          <w:lang w:eastAsia="zh-CN"/>
        </w:rPr>
        <w:t>来</w:t>
      </w:r>
      <w:r>
        <w:rPr>
          <w:rStyle w:val="28"/>
          <w:rFonts w:hint="eastAsia"/>
        </w:rPr>
        <w:t>发布的</w:t>
      </w:r>
      <w:r>
        <w:rPr>
          <w:rStyle w:val="28"/>
          <w:rFonts w:hint="eastAsia"/>
          <w:lang w:eastAsia="zh-CN"/>
        </w:rPr>
        <w:t>相关</w:t>
      </w:r>
      <w:r>
        <w:rPr>
          <w:rStyle w:val="28"/>
          <w:rFonts w:hint="eastAsia"/>
        </w:rPr>
        <w:t>文件</w:t>
      </w:r>
      <w:r>
        <w:tab/>
      </w:r>
      <w:r>
        <w:rPr>
          <w:rFonts w:hint="eastAsia"/>
          <w:lang w:val="en-US" w:eastAsia="zh-CN"/>
        </w:rPr>
        <w:t>7</w:t>
      </w:r>
      <w:r>
        <w:fldChar w:fldCharType="end"/>
      </w:r>
      <w:r>
        <w:rPr>
          <w:rFonts w:hint="eastAsia"/>
          <w:lang w:val="en-US" w:eastAsia="zh-CN"/>
        </w:rPr>
        <w:t>5</w:t>
      </w:r>
    </w:p>
    <w:p>
      <w:pPr>
        <w:widowControl/>
        <w:spacing w:line="360" w:lineRule="auto"/>
        <w:jc w:val="center"/>
        <w:rPr>
          <w:rFonts w:ascii="Arial" w:hAnsi="Arial" w:cs="Arial"/>
          <w:szCs w:val="21"/>
        </w:rPr>
        <w:sectPr>
          <w:footerReference r:id="rId8" w:type="default"/>
          <w:pgSz w:w="11906" w:h="16838"/>
          <w:pgMar w:top="1440" w:right="1800" w:bottom="1440" w:left="1800" w:header="851" w:footer="992" w:gutter="0"/>
          <w:pgNumType w:start="1"/>
          <w:cols w:space="425" w:num="1"/>
          <w:docGrid w:type="lines" w:linePitch="312" w:charSpace="0"/>
        </w:sectPr>
      </w:pPr>
      <w:r>
        <w:rPr>
          <w:rFonts w:ascii="Arial" w:hAnsi="Arial" w:cs="Arial"/>
          <w:bCs/>
          <w:caps/>
          <w:szCs w:val="21"/>
        </w:rPr>
        <w:fldChar w:fldCharType="end"/>
      </w:r>
      <w:bookmarkStart w:id="1" w:name="_Toc118119901"/>
    </w:p>
    <w:p>
      <w:pPr>
        <w:pageBreakBefore w:val="0"/>
        <w:widowControl/>
        <w:kinsoku/>
        <w:wordWrap/>
        <w:overflowPunct/>
        <w:topLinePunct w:val="0"/>
        <w:autoSpaceDE/>
        <w:autoSpaceDN/>
        <w:bidi w:val="0"/>
        <w:adjustRightInd/>
        <w:snapToGrid/>
        <w:spacing w:line="600" w:lineRule="exact"/>
        <w:jc w:val="center"/>
        <w:textAlignment w:val="auto"/>
        <w:rPr>
          <w:rFonts w:ascii="黑体" w:hAnsi="黑体" w:eastAsia="黑体" w:cs="Times New Roman"/>
          <w:bCs/>
          <w:kern w:val="0"/>
          <w:sz w:val="36"/>
          <w:szCs w:val="32"/>
          <w:lang w:val="en-US" w:eastAsia="zh-CN" w:bidi="ar-SA"/>
        </w:rPr>
      </w:pPr>
      <w:r>
        <w:rPr>
          <w:rFonts w:hint="eastAsia" w:ascii="黑体" w:hAnsi="黑体" w:eastAsia="黑体" w:cs="Times New Roman"/>
          <w:bCs/>
          <w:kern w:val="0"/>
          <w:sz w:val="36"/>
          <w:szCs w:val="32"/>
          <w:lang w:val="en-US" w:eastAsia="zh-CN" w:bidi="ar-SA"/>
        </w:rPr>
        <w:t>一、</w:t>
      </w:r>
      <w:r>
        <w:rPr>
          <w:rFonts w:ascii="黑体" w:hAnsi="黑体" w:eastAsia="黑体" w:cs="Times New Roman"/>
          <w:bCs/>
          <w:kern w:val="0"/>
          <w:sz w:val="36"/>
          <w:szCs w:val="32"/>
          <w:lang w:val="en-US" w:eastAsia="zh-CN" w:bidi="ar-SA"/>
        </w:rPr>
        <w:t>建筑专业</w:t>
      </w:r>
      <w:bookmarkEnd w:id="1"/>
    </w:p>
    <w:p>
      <w:pPr>
        <w:pStyle w:val="3"/>
        <w:pageBreakBefore w:val="0"/>
        <w:numPr>
          <w:ilvl w:val="1"/>
          <w:numId w:val="0"/>
        </w:numPr>
        <w:kinsoku/>
        <w:wordWrap/>
        <w:overflowPunct/>
        <w:topLinePunct w:val="0"/>
        <w:autoSpaceDE/>
        <w:autoSpaceDN/>
        <w:bidi w:val="0"/>
        <w:adjustRightInd/>
        <w:snapToGrid/>
        <w:spacing w:beforeLines="0" w:after="0" w:line="600" w:lineRule="exact"/>
        <w:jc w:val="center"/>
        <w:textAlignment w:val="auto"/>
      </w:pPr>
      <w:bookmarkStart w:id="2" w:name="_Toc118119902"/>
      <w:r>
        <w:rPr>
          <w:rFonts w:hint="eastAsia"/>
          <w:lang w:val="en-US" w:eastAsia="zh-CN"/>
        </w:rPr>
        <w:t>1.1</w:t>
      </w:r>
      <w:r>
        <w:t>建筑设计</w:t>
      </w:r>
      <w:bookmarkEnd w:id="2"/>
    </w:p>
    <w:p>
      <w:pPr>
        <w:spacing w:line="360" w:lineRule="auto"/>
        <w:rPr>
          <w:rFonts w:ascii="Arial" w:hAnsi="Arial" w:eastAsia="黑体" w:cs="Arial"/>
          <w:sz w:val="24"/>
          <w:szCs w:val="24"/>
        </w:rPr>
      </w:pPr>
      <w:r>
        <w:rPr>
          <w:rFonts w:ascii="Arial" w:hAnsi="Arial" w:eastAsia="黑体" w:cs="Arial"/>
          <w:sz w:val="24"/>
          <w:szCs w:val="24"/>
        </w:rPr>
        <w:t>《住宅设计标准》DGJ08-20-201</w:t>
      </w:r>
      <w:r>
        <w:rPr>
          <w:rFonts w:hint="eastAsia" w:ascii="Arial" w:hAnsi="Arial" w:eastAsia="黑体" w:cs="Arial"/>
          <w:sz w:val="24"/>
          <w:szCs w:val="24"/>
        </w:rPr>
        <w:t>9（2022年局部修订）</w:t>
      </w:r>
    </w:p>
    <w:p>
      <w:pPr>
        <w:spacing w:line="360" w:lineRule="auto"/>
        <w:rPr>
          <w:rFonts w:ascii="Arial" w:hAnsi="Arial" w:cs="Arial"/>
          <w:sz w:val="24"/>
          <w:szCs w:val="24"/>
        </w:rPr>
      </w:pPr>
      <w:r>
        <w:rPr>
          <w:rFonts w:ascii="Arial" w:hAnsi="Arial" w:cs="Arial"/>
          <w:sz w:val="24"/>
          <w:szCs w:val="24"/>
        </w:rPr>
        <w:t xml:space="preserve">4.4.1 </w:t>
      </w:r>
      <w:r>
        <w:rPr>
          <w:sz w:val="24"/>
          <w:szCs w:val="24"/>
        </w:rPr>
        <w:t>厨房应设计为独立可封闭的空间</w:t>
      </w:r>
      <w:r>
        <w:rPr>
          <w:rFonts w:ascii="Arial" w:hAnsi="Arial" w:cs="Arial"/>
          <w:sz w:val="24"/>
          <w:szCs w:val="24"/>
        </w:rPr>
        <w:t>。</w:t>
      </w:r>
    </w:p>
    <w:p>
      <w:pPr>
        <w:spacing w:line="360" w:lineRule="auto"/>
        <w:rPr>
          <w:rFonts w:ascii="Arial" w:hAnsi="Arial" w:cs="Arial"/>
          <w:sz w:val="24"/>
          <w:szCs w:val="24"/>
        </w:rPr>
      </w:pPr>
      <w:r>
        <w:rPr>
          <w:rFonts w:ascii="Arial" w:hAnsi="Arial" w:cs="Arial"/>
          <w:sz w:val="24"/>
          <w:szCs w:val="24"/>
        </w:rPr>
        <w:t>4.4.2 低层、多层住宅的厨房应有直接采光、自然通风。中高层、高层住宅的厨房应有直接采光、自然通风或开向公共外廊的窗户，但不得开向前室或楼梯间。</w:t>
      </w:r>
    </w:p>
    <w:p>
      <w:pPr>
        <w:spacing w:line="360" w:lineRule="auto"/>
        <w:rPr>
          <w:rFonts w:ascii="Arial" w:hAnsi="Arial" w:cs="Arial"/>
          <w:sz w:val="24"/>
          <w:szCs w:val="24"/>
        </w:rPr>
      </w:pPr>
      <w:r>
        <w:rPr>
          <w:rFonts w:ascii="Arial" w:hAnsi="Arial" w:cs="Arial"/>
          <w:sz w:val="24"/>
          <w:szCs w:val="24"/>
        </w:rPr>
        <w:t>4.6.</w:t>
      </w:r>
      <w:r>
        <w:rPr>
          <w:rFonts w:hint="eastAsia" w:ascii="Arial" w:hAnsi="Arial" w:cs="Arial"/>
          <w:sz w:val="24"/>
          <w:szCs w:val="24"/>
        </w:rPr>
        <w:t>2</w:t>
      </w:r>
      <w:r>
        <w:rPr>
          <w:rFonts w:ascii="Arial" w:hAnsi="Arial" w:cs="Arial"/>
          <w:sz w:val="24"/>
          <w:szCs w:val="24"/>
        </w:rPr>
        <w:t xml:space="preserve"> 跃层式住宅应符合下列规定：</w:t>
      </w:r>
    </w:p>
    <w:p>
      <w:pPr>
        <w:spacing w:line="360" w:lineRule="auto"/>
        <w:ind w:firstLine="480" w:firstLineChars="200"/>
        <w:rPr>
          <w:rFonts w:ascii="Arial" w:hAnsi="Arial" w:cs="Arial"/>
          <w:bCs/>
          <w:sz w:val="24"/>
        </w:rPr>
      </w:pPr>
      <w:r>
        <w:rPr>
          <w:rStyle w:val="26"/>
          <w:rFonts w:ascii="Arial" w:hAnsi="Arial" w:cs="Arial"/>
          <w:b w:val="0"/>
          <w:bCs w:val="0"/>
          <w:sz w:val="24"/>
        </w:rPr>
        <w:t>1 多层、中高层、高层住宅每套所跨跃的楼层不应超过</w:t>
      </w:r>
      <w:r>
        <w:rPr>
          <w:rStyle w:val="26"/>
          <w:rFonts w:hint="eastAsia" w:ascii="Arial" w:hAnsi="Arial" w:cs="Arial"/>
          <w:b w:val="0"/>
          <w:bCs w:val="0"/>
          <w:sz w:val="24"/>
        </w:rPr>
        <w:t>2</w:t>
      </w:r>
      <w:r>
        <w:rPr>
          <w:rStyle w:val="26"/>
          <w:rFonts w:ascii="Arial" w:hAnsi="Arial" w:cs="Arial"/>
          <w:b w:val="0"/>
          <w:bCs w:val="0"/>
          <w:sz w:val="24"/>
        </w:rPr>
        <w:t>层</w:t>
      </w:r>
      <w:r>
        <w:rPr>
          <w:rStyle w:val="26"/>
          <w:rFonts w:ascii="Arial" w:hAnsi="Arial" w:cs="Arial"/>
          <w:sz w:val="24"/>
        </w:rPr>
        <w:t>。</w:t>
      </w:r>
    </w:p>
    <w:p>
      <w:pPr>
        <w:spacing w:line="360" w:lineRule="auto"/>
        <w:rPr>
          <w:rFonts w:ascii="Arial" w:hAnsi="Arial" w:cs="Arial"/>
          <w:sz w:val="24"/>
          <w:szCs w:val="24"/>
        </w:rPr>
      </w:pPr>
      <w:r>
        <w:rPr>
          <w:rFonts w:ascii="Arial" w:hAnsi="Arial" w:cs="Arial"/>
          <w:sz w:val="24"/>
          <w:szCs w:val="24"/>
        </w:rPr>
        <w:t>4.6.</w:t>
      </w:r>
      <w:r>
        <w:rPr>
          <w:rFonts w:hint="eastAsia" w:ascii="Arial" w:hAnsi="Arial" w:cs="Arial"/>
          <w:sz w:val="24"/>
          <w:szCs w:val="24"/>
        </w:rPr>
        <w:t>3</w:t>
      </w:r>
      <w:r>
        <w:rPr>
          <w:rFonts w:ascii="Arial" w:hAnsi="Arial" w:cs="Arial"/>
          <w:sz w:val="24"/>
          <w:szCs w:val="24"/>
        </w:rPr>
        <w:t xml:space="preserve"> 跃层式住宅的套内楼梯应符合下列规定：</w:t>
      </w:r>
    </w:p>
    <w:p>
      <w:pPr>
        <w:spacing w:line="360" w:lineRule="auto"/>
        <w:ind w:firstLine="480" w:firstLineChars="200"/>
        <w:rPr>
          <w:rStyle w:val="26"/>
          <w:rFonts w:ascii="Arial" w:hAnsi="Arial" w:cs="Arial"/>
          <w:b w:val="0"/>
          <w:sz w:val="24"/>
        </w:rPr>
      </w:pPr>
      <w:r>
        <w:rPr>
          <w:rStyle w:val="26"/>
          <w:rFonts w:ascii="Arial" w:hAnsi="Arial" w:cs="Arial"/>
          <w:b w:val="0"/>
          <w:bCs w:val="0"/>
          <w:sz w:val="24"/>
        </w:rPr>
        <w:t>2 扇形踏步自最窄边起0.25m处的踏步宽度不应小于0.22m</w:t>
      </w:r>
      <w:r>
        <w:rPr>
          <w:rStyle w:val="26"/>
          <w:rFonts w:ascii="Arial" w:hAnsi="Arial" w:cs="Arial"/>
          <w:sz w:val="24"/>
        </w:rPr>
        <w:t>。</w:t>
      </w:r>
    </w:p>
    <w:p>
      <w:pPr>
        <w:spacing w:line="360" w:lineRule="auto"/>
        <w:rPr>
          <w:rFonts w:ascii="Arial" w:hAnsi="Arial" w:cs="Arial"/>
          <w:sz w:val="24"/>
          <w:szCs w:val="24"/>
        </w:rPr>
      </w:pPr>
      <w:r>
        <w:rPr>
          <w:rFonts w:hint="eastAsia" w:ascii="Arial" w:hAnsi="Arial" w:cs="Arial"/>
          <w:sz w:val="24"/>
          <w:szCs w:val="24"/>
        </w:rPr>
        <w:t>5.1.5 当每单元设置不少于2个安全出口时，2个安全出口应能通过公共区域进行自由转换，且楼层任一点应可通至所有安全出口。</w:t>
      </w:r>
    </w:p>
    <w:p>
      <w:pPr>
        <w:spacing w:line="360" w:lineRule="auto"/>
        <w:rPr>
          <w:rFonts w:ascii="Arial" w:hAnsi="Arial" w:cs="Arial"/>
          <w:sz w:val="24"/>
          <w:szCs w:val="24"/>
        </w:rPr>
      </w:pPr>
      <w:r>
        <w:rPr>
          <w:rFonts w:hint="eastAsia" w:ascii="Arial" w:hAnsi="Arial" w:cs="Arial"/>
          <w:sz w:val="24"/>
          <w:szCs w:val="24"/>
        </w:rPr>
        <w:t>5.3.5 住宅单元内设置敞开外廊时，应确保住户可由电梯经封闭通道到达户门。住宅公共部位的敞开外廊应有防雨雪、防滑和安全措施。</w:t>
      </w:r>
    </w:p>
    <w:p>
      <w:pPr>
        <w:spacing w:line="360" w:lineRule="auto"/>
        <w:rPr>
          <w:rFonts w:ascii="Arial" w:hAnsi="Arial" w:cs="Arial"/>
          <w:sz w:val="24"/>
          <w:szCs w:val="24"/>
        </w:rPr>
      </w:pPr>
      <w:r>
        <w:rPr>
          <w:rFonts w:ascii="Arial" w:hAnsi="Arial" w:cs="Arial"/>
          <w:sz w:val="24"/>
          <w:szCs w:val="24"/>
        </w:rPr>
        <w:t>7.6.</w:t>
      </w:r>
      <w:r>
        <w:rPr>
          <w:rFonts w:hint="eastAsia" w:ascii="Arial" w:hAnsi="Arial" w:cs="Arial"/>
          <w:sz w:val="24"/>
          <w:szCs w:val="24"/>
        </w:rPr>
        <w:t>5</w:t>
      </w:r>
      <w:r>
        <w:rPr>
          <w:rFonts w:ascii="Arial" w:hAnsi="Arial" w:cs="Arial"/>
          <w:sz w:val="24"/>
          <w:szCs w:val="24"/>
        </w:rPr>
        <w:t xml:space="preserve"> </w:t>
      </w:r>
      <w:r>
        <w:rPr>
          <w:rFonts w:hint="eastAsia" w:ascii="Arial" w:hAnsi="Arial" w:cs="Arial"/>
          <w:sz w:val="24"/>
          <w:szCs w:val="24"/>
        </w:rPr>
        <w:t>中高层、高层住宅不应设置全封闭的内天井。</w:t>
      </w:r>
    </w:p>
    <w:p>
      <w:pPr>
        <w:spacing w:line="360" w:lineRule="auto"/>
        <w:rPr>
          <w:rFonts w:ascii="Arial" w:hAnsi="Arial" w:cs="Arial"/>
          <w:sz w:val="24"/>
          <w:szCs w:val="24"/>
        </w:rPr>
      </w:pPr>
    </w:p>
    <w:p>
      <w:pPr>
        <w:spacing w:line="360" w:lineRule="auto"/>
        <w:rPr>
          <w:rFonts w:ascii="Arial" w:hAnsi="Arial" w:eastAsia="黑体" w:cs="Arial"/>
          <w:sz w:val="24"/>
          <w:szCs w:val="24"/>
        </w:rPr>
      </w:pPr>
      <w:r>
        <w:rPr>
          <w:rFonts w:hint="eastAsia" w:ascii="Arial" w:hAnsi="Arial" w:eastAsia="黑体" w:cs="Arial"/>
          <w:sz w:val="24"/>
          <w:szCs w:val="24"/>
        </w:rPr>
        <w:t>《建筑幕墙工程技术标准》DG/TJ08-56-2019</w:t>
      </w:r>
    </w:p>
    <w:p>
      <w:pPr>
        <w:spacing w:line="360" w:lineRule="auto"/>
        <w:rPr>
          <w:rFonts w:ascii="宋体" w:hAnsi="宋体" w:cs="宋体"/>
          <w:sz w:val="24"/>
          <w:szCs w:val="24"/>
        </w:rPr>
      </w:pPr>
      <w:r>
        <w:rPr>
          <w:rFonts w:hint="eastAsia" w:ascii="Arial" w:hAnsi="Arial" w:cs="Arial"/>
          <w:sz w:val="24"/>
          <w:szCs w:val="24"/>
        </w:rPr>
        <w:t xml:space="preserve">4.3.6 </w:t>
      </w:r>
      <w:r>
        <w:rPr>
          <w:rFonts w:ascii="Arial" w:hAnsi="Arial" w:cs="Arial"/>
          <w:sz w:val="24"/>
          <w:szCs w:val="24"/>
        </w:rPr>
        <w:t>楼层外缘无实体墙的玻璃部位应设置防撞设施或醒目的警示标志。设置固定护栏时</w:t>
      </w:r>
      <w:r>
        <w:rPr>
          <w:rFonts w:hint="eastAsia" w:ascii="Arial" w:hAnsi="Arial" w:cs="Arial"/>
          <w:sz w:val="24"/>
          <w:szCs w:val="24"/>
        </w:rPr>
        <w:t>，</w:t>
      </w:r>
      <w:r>
        <w:rPr>
          <w:rFonts w:ascii="Arial" w:hAnsi="Arial" w:cs="Arial"/>
          <w:sz w:val="24"/>
          <w:szCs w:val="24"/>
        </w:rPr>
        <w:t>护栏应符合《民用建筑设计统一标准》GB50352规定。具备以下条件之一者可不设护栏</w:t>
      </w:r>
      <w:r>
        <w:rPr>
          <w:rFonts w:hint="eastAsia" w:ascii="Arial" w:hAnsi="Arial" w:cs="Arial"/>
          <w:sz w:val="24"/>
          <w:szCs w:val="24"/>
        </w:rPr>
        <w:t>：</w:t>
      </w:r>
    </w:p>
    <w:p>
      <w:pPr>
        <w:spacing w:line="360" w:lineRule="auto"/>
        <w:ind w:firstLine="480" w:firstLineChars="200"/>
        <w:rPr>
          <w:rFonts w:ascii="Arial" w:hAnsi="Arial" w:cs="Arial"/>
          <w:sz w:val="24"/>
          <w:szCs w:val="24"/>
        </w:rPr>
      </w:pPr>
      <w:r>
        <w:rPr>
          <w:rFonts w:ascii="Arial" w:hAnsi="Arial" w:cs="Arial"/>
          <w:sz w:val="24"/>
          <w:szCs w:val="24"/>
        </w:rPr>
        <w:t>1 在应设置护栏高度处设有幕墙橫梁</w:t>
      </w:r>
      <w:r>
        <w:rPr>
          <w:rFonts w:hint="eastAsia" w:ascii="Arial" w:hAnsi="Arial" w:cs="Arial"/>
          <w:sz w:val="24"/>
          <w:szCs w:val="24"/>
        </w:rPr>
        <w:t>，</w:t>
      </w:r>
      <w:r>
        <w:rPr>
          <w:rFonts w:ascii="Arial" w:hAnsi="Arial" w:cs="Arial"/>
          <w:sz w:val="24"/>
          <w:szCs w:val="24"/>
        </w:rPr>
        <w:t>且横梁及立柱经抗冲击专项验算</w:t>
      </w:r>
      <w:r>
        <w:rPr>
          <w:rFonts w:hint="eastAsia" w:ascii="Arial" w:hAnsi="Arial" w:cs="Arial"/>
          <w:sz w:val="24"/>
          <w:szCs w:val="24"/>
        </w:rPr>
        <w:t>，</w:t>
      </w:r>
      <w:r>
        <w:rPr>
          <w:rFonts w:ascii="Arial" w:hAnsi="Arial" w:cs="Arial"/>
          <w:sz w:val="24"/>
          <w:szCs w:val="24"/>
        </w:rPr>
        <w:t>滿足可能发生的冲击力。冲击力标准值取1.2kN</w:t>
      </w:r>
      <w:r>
        <w:rPr>
          <w:rFonts w:hint="eastAsia" w:ascii="Arial" w:hAnsi="Arial" w:cs="Arial"/>
          <w:sz w:val="24"/>
          <w:szCs w:val="24"/>
        </w:rPr>
        <w:t>，</w:t>
      </w:r>
      <w:r>
        <w:rPr>
          <w:rFonts w:ascii="Arial" w:hAnsi="Arial" w:cs="Arial"/>
          <w:sz w:val="24"/>
          <w:szCs w:val="24"/>
        </w:rPr>
        <w:t>应计入冲击系数1.50、荷载分项系数1.40。玻璃厚度、面积及防护措施符合《建筑玻璃应用技术规程》JGJ 113规定。</w:t>
      </w:r>
    </w:p>
    <w:p>
      <w:pPr>
        <w:spacing w:line="360" w:lineRule="auto"/>
        <w:ind w:left="900" w:leftChars="200" w:hanging="480" w:hangingChars="200"/>
        <w:rPr>
          <w:rFonts w:ascii="Arial" w:hAnsi="Arial" w:cs="Arial"/>
          <w:sz w:val="24"/>
          <w:szCs w:val="24"/>
        </w:rPr>
      </w:pPr>
      <w:r>
        <w:rPr>
          <w:rFonts w:hint="eastAsia" w:ascii="Arial" w:hAnsi="Arial" w:cs="Arial"/>
          <w:sz w:val="24"/>
          <w:szCs w:val="24"/>
        </w:rPr>
        <w:t>2 面板玻璃符合下列规定之一：</w:t>
      </w:r>
    </w:p>
    <w:p>
      <w:pPr>
        <w:numPr>
          <w:ilvl w:val="0"/>
          <w:numId w:val="4"/>
        </w:numPr>
        <w:spacing w:line="360" w:lineRule="auto"/>
        <w:ind w:left="780" w:leftChars="200" w:hanging="360" w:hangingChars="150"/>
        <w:rPr>
          <w:rFonts w:ascii="Arial" w:hAnsi="Arial" w:cs="Arial"/>
          <w:sz w:val="24"/>
          <w:szCs w:val="24"/>
        </w:rPr>
      </w:pPr>
      <w:r>
        <w:rPr>
          <w:rFonts w:ascii="Arial" w:hAnsi="Arial" w:cs="Arial"/>
          <w:sz w:val="24"/>
          <w:szCs w:val="24"/>
        </w:rPr>
        <w:t>中空玻璃的内片采用钢化玻璃</w:t>
      </w:r>
      <w:r>
        <w:rPr>
          <w:rFonts w:hint="eastAsia" w:ascii="Arial" w:hAnsi="Arial" w:cs="Arial"/>
          <w:sz w:val="24"/>
          <w:szCs w:val="24"/>
        </w:rPr>
        <w:t>，</w:t>
      </w:r>
      <w:r>
        <w:rPr>
          <w:rFonts w:ascii="Arial" w:hAnsi="Arial" w:cs="Arial"/>
          <w:sz w:val="24"/>
          <w:szCs w:val="24"/>
        </w:rPr>
        <w:t>单块玻璃面积不大于3.0m</w:t>
      </w:r>
      <w:r>
        <w:rPr>
          <w:rFonts w:ascii="Arial" w:hAnsi="Arial" w:cs="Arial"/>
          <w:sz w:val="24"/>
          <w:szCs w:val="24"/>
          <w:vertAlign w:val="superscript"/>
        </w:rPr>
        <w:t>2</w:t>
      </w:r>
      <w:r>
        <w:rPr>
          <w:rFonts w:hint="eastAsia" w:ascii="Arial" w:hAnsi="Arial" w:cs="Arial"/>
          <w:sz w:val="24"/>
          <w:szCs w:val="24"/>
        </w:rPr>
        <w:t>，</w:t>
      </w:r>
      <w:r>
        <w:rPr>
          <w:rFonts w:ascii="Arial" w:hAnsi="Arial" w:cs="Arial"/>
          <w:sz w:val="24"/>
          <w:szCs w:val="24"/>
        </w:rPr>
        <w:t>厚度不小于8mm。</w:t>
      </w:r>
    </w:p>
    <w:p>
      <w:pPr>
        <w:numPr>
          <w:ilvl w:val="0"/>
          <w:numId w:val="4"/>
        </w:numPr>
        <w:spacing w:line="360" w:lineRule="auto"/>
        <w:ind w:left="780" w:leftChars="200" w:hanging="360" w:hangingChars="150"/>
        <w:rPr>
          <w:rFonts w:ascii="Arial" w:hAnsi="Arial" w:cs="Arial"/>
          <w:sz w:val="24"/>
          <w:szCs w:val="24"/>
        </w:rPr>
      </w:pPr>
      <w:r>
        <w:rPr>
          <w:rFonts w:ascii="Arial" w:hAnsi="Arial" w:cs="Arial"/>
          <w:sz w:val="24"/>
          <w:szCs w:val="24"/>
        </w:rPr>
        <w:t>中空玻璃的内片采用夹层玻璃</w:t>
      </w:r>
      <w:r>
        <w:rPr>
          <w:rFonts w:hint="eastAsia" w:ascii="Arial" w:hAnsi="Arial" w:cs="Arial"/>
          <w:sz w:val="24"/>
          <w:szCs w:val="24"/>
        </w:rPr>
        <w:t>，</w:t>
      </w:r>
      <w:r>
        <w:rPr>
          <w:rFonts w:ascii="Arial" w:hAnsi="Arial" w:cs="Arial"/>
          <w:sz w:val="24"/>
          <w:szCs w:val="24"/>
        </w:rPr>
        <w:t>单块玻璃面积不大于4.5m</w:t>
      </w:r>
      <w:r>
        <w:rPr>
          <w:rFonts w:ascii="Arial" w:hAnsi="Arial" w:cs="Arial"/>
          <w:sz w:val="24"/>
          <w:szCs w:val="24"/>
          <w:vertAlign w:val="superscript"/>
        </w:rPr>
        <w:t>2</w:t>
      </w:r>
      <w:r>
        <w:rPr>
          <w:rFonts w:hint="eastAsia" w:ascii="Arial" w:hAnsi="Arial" w:cs="Arial"/>
          <w:sz w:val="24"/>
          <w:szCs w:val="24"/>
        </w:rPr>
        <w:t>，</w:t>
      </w:r>
      <w:r>
        <w:rPr>
          <w:rFonts w:ascii="Arial" w:hAnsi="Arial" w:cs="Arial"/>
          <w:sz w:val="24"/>
          <w:szCs w:val="24"/>
        </w:rPr>
        <w:t>厚度不小于12.76mm。</w:t>
      </w:r>
    </w:p>
    <w:p>
      <w:pPr>
        <w:numPr>
          <w:ilvl w:val="0"/>
          <w:numId w:val="4"/>
        </w:numPr>
        <w:spacing w:line="360" w:lineRule="auto"/>
        <w:ind w:left="780" w:leftChars="200" w:hanging="360" w:hangingChars="150"/>
        <w:rPr>
          <w:rFonts w:ascii="Arial" w:hAnsi="Arial" w:cs="Arial"/>
          <w:sz w:val="24"/>
          <w:szCs w:val="24"/>
        </w:rPr>
      </w:pPr>
      <w:r>
        <w:rPr>
          <w:rFonts w:ascii="Arial" w:hAnsi="Arial" w:cs="Arial"/>
          <w:sz w:val="24"/>
          <w:szCs w:val="24"/>
        </w:rPr>
        <w:t>单块玻璃面积大于4.5m</w:t>
      </w:r>
      <w:r>
        <w:rPr>
          <w:rFonts w:ascii="Arial" w:hAnsi="Arial" w:cs="Arial"/>
          <w:sz w:val="24"/>
          <w:szCs w:val="24"/>
          <w:vertAlign w:val="superscript"/>
        </w:rPr>
        <w:t>2</w:t>
      </w:r>
      <w:r>
        <w:rPr>
          <w:rFonts w:hint="eastAsia" w:ascii="Arial" w:hAnsi="Arial" w:cs="Arial"/>
          <w:sz w:val="24"/>
          <w:szCs w:val="24"/>
        </w:rPr>
        <w:t>，</w:t>
      </w:r>
      <w:r>
        <w:rPr>
          <w:rFonts w:ascii="Arial" w:hAnsi="Arial" w:cs="Arial"/>
          <w:sz w:val="24"/>
          <w:szCs w:val="24"/>
        </w:rPr>
        <w:t>中空玻璃的内片采用夹层玻璃</w:t>
      </w:r>
      <w:r>
        <w:rPr>
          <w:rFonts w:hint="eastAsia" w:ascii="Arial" w:hAnsi="Arial" w:cs="Arial"/>
          <w:sz w:val="24"/>
          <w:szCs w:val="24"/>
        </w:rPr>
        <w:t>，</w:t>
      </w:r>
      <w:r>
        <w:rPr>
          <w:rFonts w:ascii="Arial" w:hAnsi="Arial" w:cs="Arial"/>
          <w:sz w:val="24"/>
          <w:szCs w:val="24"/>
        </w:rPr>
        <w:t>厚度经专项计算确定</w:t>
      </w:r>
      <w:r>
        <w:rPr>
          <w:rFonts w:hint="eastAsia" w:ascii="Arial" w:hAnsi="Arial" w:cs="Arial"/>
          <w:sz w:val="24"/>
          <w:szCs w:val="24"/>
        </w:rPr>
        <w:t>，</w:t>
      </w:r>
      <w:r>
        <w:rPr>
          <w:rFonts w:ascii="Arial" w:hAnsi="Arial" w:cs="Arial"/>
          <w:sz w:val="24"/>
          <w:szCs w:val="24"/>
        </w:rPr>
        <w:t>计算时荷载作用于玻璃板块中央</w:t>
      </w:r>
      <w:r>
        <w:rPr>
          <w:rFonts w:hint="eastAsia" w:ascii="Arial" w:hAnsi="Arial" w:cs="Arial"/>
          <w:sz w:val="24"/>
          <w:szCs w:val="24"/>
        </w:rPr>
        <w:t>，</w:t>
      </w:r>
      <w:r>
        <w:rPr>
          <w:rFonts w:ascii="Arial" w:hAnsi="Arial" w:cs="Arial"/>
          <w:sz w:val="24"/>
          <w:szCs w:val="24"/>
        </w:rPr>
        <w:t>冲击力标准值为1.5kN、冲击系数1.50、荷载分项系数1.40</w:t>
      </w:r>
      <w:r>
        <w:rPr>
          <w:rFonts w:hint="eastAsia" w:ascii="Arial" w:hAnsi="Arial" w:cs="Arial"/>
          <w:sz w:val="24"/>
          <w:szCs w:val="24"/>
        </w:rPr>
        <w:t>，</w:t>
      </w:r>
      <w:r>
        <w:rPr>
          <w:rFonts w:ascii="Arial" w:hAnsi="Arial" w:cs="Arial"/>
          <w:sz w:val="24"/>
          <w:szCs w:val="24"/>
        </w:rPr>
        <w:t>且厚度不小于12.76mm。</w:t>
      </w:r>
    </w:p>
    <w:p>
      <w:pPr>
        <w:spacing w:line="360" w:lineRule="auto"/>
        <w:rPr>
          <w:rFonts w:ascii="Arial" w:hAnsi="Arial" w:cs="Arial"/>
          <w:sz w:val="24"/>
          <w:szCs w:val="24"/>
        </w:rPr>
      </w:pPr>
      <w:r>
        <w:rPr>
          <w:rFonts w:hint="eastAsia" w:ascii="Arial" w:hAnsi="Arial" w:cs="Arial"/>
          <w:sz w:val="24"/>
          <w:szCs w:val="24"/>
        </w:rPr>
        <w:t>7.1.6 供消防救援进出的应急窗口设置应与消防车登高操作场地相对应，并符合以下规定：</w:t>
      </w:r>
    </w:p>
    <w:p>
      <w:pPr>
        <w:spacing w:line="360" w:lineRule="auto"/>
        <w:ind w:firstLine="480" w:firstLineChars="200"/>
        <w:rPr>
          <w:rFonts w:ascii="Arial" w:hAnsi="Arial" w:cs="Arial"/>
          <w:sz w:val="24"/>
          <w:szCs w:val="24"/>
        </w:rPr>
      </w:pPr>
      <w:r>
        <w:rPr>
          <w:rFonts w:hint="eastAsia" w:ascii="Arial" w:hAnsi="Arial" w:cs="Arial"/>
          <w:sz w:val="24"/>
          <w:szCs w:val="24"/>
        </w:rPr>
        <w:t>3 消防救援窗的应急击碎玻璃应采用厚度不大于8mm的单片钢化玻璃或中空钢化玻璃。不得采用普通玻璃、半钢化玻璃或夹层玻璃。</w:t>
      </w:r>
    </w:p>
    <w:p>
      <w:pPr>
        <w:spacing w:line="360" w:lineRule="auto"/>
        <w:rPr>
          <w:rFonts w:ascii="Arial" w:hAnsi="Arial" w:cs="Arial"/>
          <w:sz w:val="24"/>
          <w:szCs w:val="24"/>
        </w:rPr>
      </w:pPr>
    </w:p>
    <w:p>
      <w:pPr>
        <w:spacing w:line="360" w:lineRule="auto"/>
        <w:rPr>
          <w:rFonts w:ascii="Arial" w:hAnsi="Arial" w:eastAsia="黑体" w:cs="Arial"/>
          <w:sz w:val="24"/>
          <w:szCs w:val="24"/>
        </w:rPr>
      </w:pPr>
      <w:r>
        <w:rPr>
          <w:rFonts w:hint="eastAsia" w:ascii="Arial" w:hAnsi="Arial" w:eastAsia="黑体" w:cs="Arial"/>
          <w:sz w:val="24"/>
          <w:szCs w:val="24"/>
        </w:rPr>
        <w:t>《保障性租赁住房设计标准（保障性租赁住房新建分册）》DG/TJ08-2291B-2022</w:t>
      </w:r>
    </w:p>
    <w:p>
      <w:pPr>
        <w:spacing w:line="360" w:lineRule="auto"/>
        <w:rPr>
          <w:rFonts w:ascii="Arial" w:hAnsi="Arial" w:cs="Arial"/>
          <w:sz w:val="24"/>
          <w:szCs w:val="24"/>
        </w:rPr>
      </w:pPr>
      <w:r>
        <w:rPr>
          <w:rFonts w:hint="eastAsia" w:ascii="Arial" w:hAnsi="Arial" w:cs="Arial"/>
          <w:sz w:val="24"/>
          <w:szCs w:val="24"/>
        </w:rPr>
        <w:t>4.1.</w:t>
      </w:r>
      <w:r>
        <w:rPr>
          <w:rFonts w:ascii="Arial" w:hAnsi="Arial" w:cs="Arial"/>
          <w:sz w:val="24"/>
          <w:szCs w:val="24"/>
        </w:rPr>
        <w:t>4</w:t>
      </w:r>
      <w:r>
        <w:rPr>
          <w:rFonts w:hint="eastAsia" w:ascii="Arial" w:hAnsi="Arial" w:cs="Arial"/>
          <w:sz w:val="24"/>
          <w:szCs w:val="24"/>
        </w:rPr>
        <w:t>同一幢建筑</w:t>
      </w:r>
      <w:r>
        <w:rPr>
          <w:rFonts w:ascii="Arial" w:hAnsi="Arial" w:cs="Arial"/>
          <w:sz w:val="24"/>
          <w:szCs w:val="24"/>
        </w:rPr>
        <w:t>内不</w:t>
      </w:r>
      <w:r>
        <w:rPr>
          <w:rFonts w:hint="eastAsia" w:ascii="Arial" w:hAnsi="Arial" w:cs="Arial"/>
          <w:sz w:val="24"/>
          <w:szCs w:val="24"/>
        </w:rPr>
        <w:t>应</w:t>
      </w:r>
      <w:r>
        <w:rPr>
          <w:rFonts w:ascii="Arial" w:hAnsi="Arial" w:cs="Arial"/>
          <w:sz w:val="24"/>
          <w:szCs w:val="24"/>
        </w:rPr>
        <w:t>同时</w:t>
      </w:r>
      <w:r>
        <w:rPr>
          <w:rFonts w:hint="eastAsia" w:ascii="Arial" w:hAnsi="Arial" w:cs="Arial"/>
          <w:sz w:val="24"/>
          <w:szCs w:val="24"/>
        </w:rPr>
        <w:t>设</w:t>
      </w:r>
      <w:r>
        <w:rPr>
          <w:rFonts w:ascii="Arial" w:hAnsi="Arial" w:cs="Arial"/>
          <w:sz w:val="24"/>
          <w:szCs w:val="24"/>
        </w:rPr>
        <w:t>置</w:t>
      </w:r>
      <w:r>
        <w:rPr>
          <w:rFonts w:hint="eastAsia" w:ascii="Arial" w:hAnsi="Arial" w:cs="Arial"/>
          <w:sz w:val="24"/>
          <w:szCs w:val="24"/>
        </w:rPr>
        <w:t>住宅型租赁住房和宿舍型</w:t>
      </w:r>
      <w:r>
        <w:rPr>
          <w:rFonts w:ascii="Arial" w:hAnsi="Arial" w:cs="Arial"/>
          <w:sz w:val="24"/>
          <w:szCs w:val="24"/>
        </w:rPr>
        <w:t>租赁住</w:t>
      </w:r>
      <w:r>
        <w:rPr>
          <w:rFonts w:hint="eastAsia" w:ascii="Arial" w:hAnsi="Arial" w:cs="Arial"/>
          <w:sz w:val="24"/>
          <w:szCs w:val="24"/>
        </w:rPr>
        <w:t>房。</w:t>
      </w:r>
    </w:p>
    <w:p>
      <w:pPr>
        <w:spacing w:line="360" w:lineRule="auto"/>
        <w:rPr>
          <w:rFonts w:ascii="Arial" w:hAnsi="Arial" w:cs="Arial"/>
          <w:sz w:val="24"/>
          <w:szCs w:val="24"/>
        </w:rPr>
      </w:pPr>
      <w:r>
        <w:rPr>
          <w:rFonts w:ascii="Arial" w:hAnsi="Arial" w:cs="Arial"/>
          <w:sz w:val="24"/>
          <w:szCs w:val="24"/>
        </w:rPr>
        <w:t>4.2.2</w:t>
      </w:r>
      <w:r>
        <w:rPr>
          <w:rFonts w:hint="eastAsia" w:ascii="Arial" w:hAnsi="Arial" w:cs="Arial"/>
          <w:sz w:val="24"/>
          <w:szCs w:val="24"/>
        </w:rPr>
        <w:t>保障性租赁住房使用者的公共出入口应与附建公共用房的出入口分开布置。</w:t>
      </w:r>
    </w:p>
    <w:p>
      <w:pPr>
        <w:spacing w:line="360" w:lineRule="auto"/>
        <w:rPr>
          <w:rFonts w:ascii="Arial" w:hAnsi="Arial" w:cs="Arial"/>
          <w:sz w:val="24"/>
          <w:szCs w:val="24"/>
        </w:rPr>
      </w:pPr>
      <w:r>
        <w:rPr>
          <w:rFonts w:ascii="Arial" w:hAnsi="Arial" w:cs="Arial"/>
          <w:sz w:val="24"/>
          <w:szCs w:val="24"/>
        </w:rPr>
        <w:t>4.2.</w:t>
      </w:r>
      <w:r>
        <w:rPr>
          <w:rFonts w:hint="eastAsia" w:ascii="Arial" w:hAnsi="Arial" w:cs="Arial"/>
          <w:sz w:val="24"/>
          <w:szCs w:val="24"/>
        </w:rPr>
        <w:t>9保障性租赁住房采用外廊式设计时，应考虑防雨、楼地面防滑和排水等技术措施；外廊栏板栏杆距可踏面净高不应低于1.20m。</w:t>
      </w:r>
    </w:p>
    <w:p>
      <w:pPr>
        <w:spacing w:line="360" w:lineRule="auto"/>
        <w:rPr>
          <w:rFonts w:ascii="Arial" w:hAnsi="Arial" w:cs="Arial"/>
          <w:sz w:val="24"/>
          <w:szCs w:val="24"/>
        </w:rPr>
      </w:pPr>
      <w:r>
        <w:rPr>
          <w:rFonts w:hint="eastAsia" w:ascii="Arial" w:hAnsi="Arial" w:cs="Arial"/>
          <w:sz w:val="24"/>
          <w:szCs w:val="24"/>
        </w:rPr>
        <w:t>4.3.6住宅型租赁住房厨房应符合下列规定：</w:t>
      </w:r>
    </w:p>
    <w:p>
      <w:pPr>
        <w:spacing w:line="360" w:lineRule="auto"/>
        <w:ind w:firstLine="480" w:firstLineChars="200"/>
        <w:rPr>
          <w:rFonts w:ascii="Arial" w:hAnsi="Arial" w:cs="Arial"/>
          <w:sz w:val="24"/>
          <w:szCs w:val="24"/>
        </w:rPr>
      </w:pPr>
      <w:r>
        <w:rPr>
          <w:rFonts w:hint="eastAsia" w:ascii="Arial" w:hAnsi="Arial" w:cs="Arial"/>
          <w:sz w:val="24"/>
          <w:szCs w:val="24"/>
        </w:rPr>
        <w:t>6使用燃气的厨房，应设计为独立可封闭的空间。当设有燃气泄漏报警切断保护装置时，此空间可与餐厅、过道合并，形成厨房兼餐厅的可封闭空间。</w:t>
      </w:r>
    </w:p>
    <w:p>
      <w:pPr>
        <w:spacing w:line="360" w:lineRule="auto"/>
        <w:rPr>
          <w:rFonts w:ascii="Arial" w:hAnsi="Arial" w:cs="Arial"/>
          <w:sz w:val="24"/>
          <w:szCs w:val="24"/>
        </w:rPr>
      </w:pPr>
      <w:r>
        <w:rPr>
          <w:rFonts w:hint="eastAsia" w:ascii="Arial" w:hAnsi="Arial" w:cs="Arial"/>
          <w:sz w:val="24"/>
          <w:szCs w:val="24"/>
        </w:rPr>
        <w:t>4.3.9 宿舍型租赁住房套内不应设置燃气管道设备以及有明火的灶具。</w:t>
      </w:r>
    </w:p>
    <w:p>
      <w:pPr>
        <w:spacing w:line="360" w:lineRule="auto"/>
        <w:rPr>
          <w:rFonts w:ascii="Arial" w:hAnsi="Arial" w:cs="Arial"/>
          <w:sz w:val="24"/>
          <w:szCs w:val="24"/>
        </w:rPr>
      </w:pPr>
    </w:p>
    <w:p>
      <w:pPr>
        <w:spacing w:line="360" w:lineRule="auto"/>
        <w:rPr>
          <w:rFonts w:ascii="Arial" w:hAnsi="Arial" w:cs="Arial"/>
          <w:sz w:val="24"/>
          <w:szCs w:val="24"/>
        </w:rPr>
      </w:pPr>
      <w:r>
        <w:rPr>
          <w:rFonts w:hint="eastAsia" w:ascii="Arial" w:hAnsi="Arial" w:eastAsia="黑体" w:cs="Arial"/>
          <w:sz w:val="24"/>
          <w:szCs w:val="24"/>
        </w:rPr>
        <w:t>《保障性租赁住房设计标准（保障性租赁住房改建分册）》DG/TJ08-2291C-2022</w:t>
      </w:r>
    </w:p>
    <w:p>
      <w:pPr>
        <w:spacing w:line="360" w:lineRule="auto"/>
        <w:rPr>
          <w:rFonts w:ascii="Arial" w:hAnsi="Arial" w:cs="Arial"/>
          <w:sz w:val="24"/>
          <w:szCs w:val="24"/>
        </w:rPr>
      </w:pPr>
      <w:r>
        <w:rPr>
          <w:rFonts w:hint="eastAsia" w:ascii="Arial" w:hAnsi="Arial" w:cs="Arial"/>
          <w:sz w:val="24"/>
          <w:szCs w:val="24"/>
        </w:rPr>
        <w:t>4.1.3 宿舍型租赁住房的公共出入口位于阳台、外廊及开敞楼梯平台的下部时，应采取防止物体坠落伤人的安全防护措施。</w:t>
      </w:r>
    </w:p>
    <w:p>
      <w:pPr>
        <w:spacing w:line="360" w:lineRule="auto"/>
        <w:rPr>
          <w:rFonts w:ascii="Arial" w:hAnsi="Arial" w:cs="Arial"/>
          <w:sz w:val="24"/>
          <w:szCs w:val="24"/>
        </w:rPr>
      </w:pPr>
      <w:r>
        <w:rPr>
          <w:rFonts w:ascii="Arial" w:hAnsi="Arial" w:cs="Arial"/>
          <w:sz w:val="24"/>
          <w:szCs w:val="24"/>
        </w:rPr>
        <w:t>4.</w:t>
      </w:r>
      <w:r>
        <w:rPr>
          <w:rFonts w:hint="eastAsia" w:ascii="Arial" w:hAnsi="Arial" w:cs="Arial"/>
          <w:sz w:val="24"/>
          <w:szCs w:val="24"/>
        </w:rPr>
        <w:t>2</w:t>
      </w:r>
      <w:r>
        <w:rPr>
          <w:rFonts w:ascii="Arial" w:hAnsi="Arial" w:cs="Arial"/>
          <w:sz w:val="24"/>
          <w:szCs w:val="24"/>
        </w:rPr>
        <w:t>.4</w:t>
      </w:r>
      <w:r>
        <w:rPr>
          <w:rFonts w:hint="eastAsia" w:ascii="Arial" w:hAnsi="Arial" w:cs="Arial"/>
          <w:sz w:val="24"/>
          <w:szCs w:val="24"/>
        </w:rPr>
        <w:t>宿舍型租赁住房不应设置燃气管道设备以及有明火的灶具。</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Arial" w:hAnsi="Arial" w:cs="Arial"/>
          <w:sz w:val="24"/>
          <w:szCs w:val="24"/>
        </w:rPr>
      </w:pPr>
      <w:r>
        <w:rPr>
          <w:rFonts w:hint="eastAsia" w:ascii="Arial" w:hAnsi="Arial" w:cs="Arial"/>
          <w:sz w:val="24"/>
          <w:szCs w:val="24"/>
        </w:rPr>
        <w:t>6.1.1宿舍型租赁住房的居室应利用自然条件获得良好的天然采光和自然通风。</w:t>
      </w:r>
    </w:p>
    <w:p>
      <w:pPr>
        <w:pStyle w:val="3"/>
        <w:keepNext/>
        <w:keepLines/>
        <w:pageBreakBefore w:val="0"/>
        <w:widowControl w:val="0"/>
        <w:numPr>
          <w:ilvl w:val="1"/>
          <w:numId w:val="0"/>
        </w:numPr>
        <w:kinsoku/>
        <w:wordWrap/>
        <w:overflowPunct/>
        <w:topLinePunct w:val="0"/>
        <w:autoSpaceDE/>
        <w:autoSpaceDN/>
        <w:bidi w:val="0"/>
        <w:adjustRightInd/>
        <w:snapToGrid/>
        <w:spacing w:before="157" w:beforeLines="50" w:after="0" w:line="240" w:lineRule="auto"/>
        <w:ind w:left="3260" w:leftChars="0"/>
        <w:jc w:val="both"/>
        <w:textAlignment w:val="auto"/>
      </w:pPr>
      <w:r>
        <w:rPr>
          <w:rFonts w:hint="eastAsia"/>
          <w:lang w:val="en-US" w:eastAsia="zh-CN"/>
        </w:rPr>
        <w:t>1.2</w:t>
      </w:r>
      <w:r>
        <w:rPr>
          <w:rFonts w:hint="eastAsia"/>
        </w:rPr>
        <w:t xml:space="preserve"> </w:t>
      </w:r>
      <w:bookmarkStart w:id="3" w:name="_Toc118119903"/>
      <w:r>
        <w:t>建筑防火</w:t>
      </w:r>
      <w:bookmarkEnd w:id="3"/>
    </w:p>
    <w:p>
      <w:pPr>
        <w:pageBreakBefore w:val="0"/>
        <w:widowControl w:val="0"/>
        <w:kinsoku/>
        <w:wordWrap/>
        <w:overflowPunct/>
        <w:topLinePunct w:val="0"/>
        <w:autoSpaceDE/>
        <w:autoSpaceDN/>
        <w:bidi w:val="0"/>
        <w:adjustRightInd/>
        <w:snapToGrid/>
        <w:spacing w:line="240" w:lineRule="auto"/>
        <w:textAlignment w:val="auto"/>
        <w:rPr>
          <w:rFonts w:ascii="Arial" w:hAnsi="Arial" w:eastAsia="黑体" w:cs="Arial"/>
          <w:sz w:val="24"/>
          <w:szCs w:val="24"/>
        </w:rPr>
      </w:pPr>
      <w:r>
        <w:rPr>
          <w:rFonts w:hint="eastAsia" w:ascii="Arial" w:hAnsi="Arial" w:eastAsia="黑体" w:cs="Arial"/>
          <w:sz w:val="24"/>
          <w:szCs w:val="24"/>
        </w:rPr>
        <w:t>《展览建筑及布展设计防火规程》</w:t>
      </w:r>
      <w:r>
        <w:rPr>
          <w:rFonts w:ascii="Arial" w:hAnsi="Arial" w:eastAsia="黑体" w:cs="Arial"/>
          <w:sz w:val="24"/>
          <w:szCs w:val="24"/>
        </w:rPr>
        <w:t>DGJ08-2173-2016</w:t>
      </w:r>
    </w:p>
    <w:p>
      <w:pPr>
        <w:spacing w:line="360" w:lineRule="auto"/>
        <w:rPr>
          <w:rFonts w:ascii="Arial" w:hAnsi="Arial" w:cs="Arial"/>
          <w:sz w:val="24"/>
          <w:szCs w:val="24"/>
        </w:rPr>
      </w:pPr>
      <w:r>
        <w:rPr>
          <w:rFonts w:ascii="Arial" w:hAnsi="Arial" w:cs="Arial"/>
          <w:sz w:val="24"/>
          <w:szCs w:val="24"/>
        </w:rPr>
        <w:t xml:space="preserve">3.1.2 </w:t>
      </w:r>
      <w:r>
        <w:rPr>
          <w:rFonts w:hint="eastAsia" w:ascii="Arial" w:hAnsi="Arial" w:cs="Arial"/>
          <w:sz w:val="24"/>
          <w:szCs w:val="24"/>
        </w:rPr>
        <w:t>展览建筑内不应设置经营、存放和使用火灾危险性为甲、乙类物品的商店</w:t>
      </w:r>
    </w:p>
    <w:p>
      <w:pPr>
        <w:spacing w:line="360" w:lineRule="auto"/>
        <w:rPr>
          <w:rFonts w:ascii="Arial" w:hAnsi="Arial" w:cs="Arial"/>
          <w:sz w:val="24"/>
          <w:szCs w:val="24"/>
        </w:rPr>
      </w:pPr>
      <w:r>
        <w:rPr>
          <w:rFonts w:hint="eastAsia" w:ascii="Arial" w:hAnsi="Arial" w:cs="Arial"/>
          <w:sz w:val="24"/>
          <w:szCs w:val="24"/>
        </w:rPr>
        <w:t>加工和储藏间。展厅不应经营、储存和展示火灾危险性为甲、乙类的商品。</w:t>
      </w:r>
    </w:p>
    <w:p>
      <w:pPr>
        <w:spacing w:line="360" w:lineRule="auto"/>
        <w:rPr>
          <w:rFonts w:ascii="Arial" w:hAnsi="Arial" w:cs="Arial"/>
          <w:sz w:val="24"/>
          <w:szCs w:val="24"/>
        </w:rPr>
      </w:pPr>
      <w:r>
        <w:rPr>
          <w:rFonts w:ascii="Arial" w:hAnsi="Arial" w:cs="Arial"/>
          <w:sz w:val="24"/>
          <w:szCs w:val="24"/>
        </w:rPr>
        <w:t xml:space="preserve">3.6.13 </w:t>
      </w:r>
      <w:r>
        <w:rPr>
          <w:rFonts w:hint="eastAsia" w:ascii="Arial" w:hAnsi="Arial" w:cs="Arial"/>
          <w:sz w:val="24"/>
          <w:szCs w:val="24"/>
        </w:rPr>
        <w:t>甲等I类展厅应至少有两侧设有供消防车进出的门。</w:t>
      </w:r>
    </w:p>
    <w:p>
      <w:pPr>
        <w:spacing w:line="360" w:lineRule="auto"/>
        <w:rPr>
          <w:rFonts w:ascii="Arial" w:hAnsi="Arial" w:cs="Arial"/>
          <w:sz w:val="24"/>
          <w:szCs w:val="24"/>
        </w:rPr>
      </w:pPr>
    </w:p>
    <w:p>
      <w:pPr>
        <w:spacing w:line="360" w:lineRule="auto"/>
        <w:rPr>
          <w:rFonts w:ascii="Arial" w:hAnsi="Arial" w:eastAsia="黑体" w:cs="Arial"/>
          <w:sz w:val="24"/>
          <w:szCs w:val="24"/>
        </w:rPr>
      </w:pPr>
      <w:r>
        <w:rPr>
          <w:rFonts w:hint="eastAsia" w:ascii="Arial" w:hAnsi="Arial" w:eastAsia="黑体" w:cs="Arial"/>
          <w:sz w:val="24"/>
          <w:szCs w:val="24"/>
        </w:rPr>
        <w:t>《民用建筑外保温材料防火技术规程》</w:t>
      </w:r>
      <w:r>
        <w:rPr>
          <w:rFonts w:ascii="Arial" w:hAnsi="Arial" w:eastAsia="黑体" w:cs="Arial"/>
          <w:sz w:val="24"/>
          <w:szCs w:val="24"/>
        </w:rPr>
        <w:t>DGJ08-2164-2015</w:t>
      </w:r>
    </w:p>
    <w:p>
      <w:pPr>
        <w:spacing w:line="360" w:lineRule="auto"/>
        <w:rPr>
          <w:rFonts w:ascii="Arial" w:hAnsi="Arial" w:cs="Arial"/>
          <w:sz w:val="24"/>
          <w:szCs w:val="24"/>
        </w:rPr>
      </w:pPr>
      <w:r>
        <w:rPr>
          <w:rFonts w:ascii="Arial" w:hAnsi="Arial" w:cs="Arial"/>
          <w:sz w:val="24"/>
          <w:szCs w:val="24"/>
        </w:rPr>
        <w:t xml:space="preserve">4.0.2 </w:t>
      </w:r>
      <w:r>
        <w:rPr>
          <w:rFonts w:hint="eastAsia" w:ascii="Arial" w:hAnsi="Arial" w:cs="Arial"/>
          <w:sz w:val="24"/>
          <w:szCs w:val="24"/>
        </w:rPr>
        <w:t>外保温工程施工所用保温材料的燃烧性能应符合设计要求，且</w:t>
      </w:r>
      <w:r>
        <w:rPr>
          <w:rFonts w:ascii="Arial" w:hAnsi="Arial" w:cs="Arial"/>
          <w:sz w:val="24"/>
          <w:szCs w:val="24"/>
        </w:rPr>
        <w:t>B</w:t>
      </w:r>
      <w:r>
        <w:rPr>
          <w:rFonts w:ascii="Arial" w:hAnsi="Arial" w:cs="Arial"/>
          <w:sz w:val="24"/>
          <w:szCs w:val="24"/>
          <w:vertAlign w:val="subscript"/>
        </w:rPr>
        <w:t>1</w:t>
      </w:r>
      <w:r>
        <w:rPr>
          <w:rFonts w:hint="eastAsia" w:ascii="Arial" w:hAnsi="Arial" w:cs="Arial"/>
          <w:sz w:val="24"/>
          <w:szCs w:val="24"/>
        </w:rPr>
        <w:t>级墙面</w:t>
      </w:r>
    </w:p>
    <w:p>
      <w:pPr>
        <w:spacing w:line="360" w:lineRule="auto"/>
        <w:rPr>
          <w:rFonts w:ascii="Arial" w:hAnsi="Arial" w:cs="Arial"/>
          <w:sz w:val="24"/>
          <w:szCs w:val="24"/>
        </w:rPr>
      </w:pPr>
      <w:r>
        <w:rPr>
          <w:rFonts w:hint="eastAsia" w:ascii="Arial" w:hAnsi="Arial" w:cs="Arial"/>
          <w:sz w:val="24"/>
          <w:szCs w:val="24"/>
        </w:rPr>
        <w:t>保温材料氧指数不应小于</w:t>
      </w:r>
      <w:r>
        <w:rPr>
          <w:rFonts w:ascii="Arial" w:hAnsi="Arial" w:cs="Arial"/>
          <w:sz w:val="24"/>
          <w:szCs w:val="24"/>
        </w:rPr>
        <w:t>30%</w:t>
      </w:r>
      <w:r>
        <w:rPr>
          <w:rFonts w:hint="eastAsia" w:ascii="Arial" w:hAnsi="Arial" w:cs="Arial"/>
          <w:sz w:val="24"/>
          <w:szCs w:val="24"/>
        </w:rPr>
        <w:t>。</w:t>
      </w:r>
    </w:p>
    <w:p>
      <w:pPr>
        <w:spacing w:line="360" w:lineRule="auto"/>
        <w:rPr>
          <w:rFonts w:ascii="Arial" w:hAnsi="Arial" w:cs="Arial"/>
          <w:sz w:val="24"/>
          <w:szCs w:val="24"/>
        </w:rPr>
      </w:pPr>
      <w:r>
        <w:rPr>
          <w:rFonts w:ascii="Arial" w:hAnsi="Arial" w:cs="Arial"/>
          <w:sz w:val="24"/>
          <w:szCs w:val="24"/>
        </w:rPr>
        <w:t xml:space="preserve">5.0.1 </w:t>
      </w:r>
      <w:r>
        <w:rPr>
          <w:rFonts w:hint="eastAsia" w:ascii="Arial" w:hAnsi="Arial" w:cs="Arial"/>
          <w:sz w:val="24"/>
          <w:szCs w:val="24"/>
        </w:rPr>
        <w:t>建筑专业施工图设计文件中的设计说明应明确外保温系统中保温材料的燃烧性能等级、氧指数指标、防火隔离带材料的燃烧性能等级以及防火构造做法。</w:t>
      </w:r>
      <w:r>
        <w:rPr>
          <w:rFonts w:ascii="Arial" w:hAnsi="Arial" w:cs="Arial"/>
          <w:sz w:val="24"/>
          <w:szCs w:val="24"/>
        </w:rPr>
        <w:t xml:space="preserve">5.0.2 </w:t>
      </w:r>
      <w:r>
        <w:rPr>
          <w:rFonts w:hint="eastAsia" w:ascii="Arial" w:hAnsi="Arial" w:cs="Arial"/>
          <w:sz w:val="24"/>
          <w:szCs w:val="24"/>
        </w:rPr>
        <w:t>建筑设计施工图中应标明防火隔离带位置、标高和高度，应有防火隔离带的节点构造详图。节点构造详图应反映防火隔离带和外保温系统不同材料交接处的防水、防裂和安全性等技术处理措施。</w:t>
      </w:r>
    </w:p>
    <w:p>
      <w:pPr>
        <w:spacing w:line="360" w:lineRule="auto"/>
        <w:rPr>
          <w:rFonts w:ascii="Arial" w:hAnsi="Arial" w:cs="Arial"/>
          <w:sz w:val="24"/>
          <w:szCs w:val="24"/>
        </w:rPr>
      </w:pPr>
      <w:r>
        <w:rPr>
          <w:rFonts w:ascii="Arial" w:hAnsi="Arial" w:cs="Arial"/>
          <w:sz w:val="24"/>
          <w:szCs w:val="24"/>
        </w:rPr>
        <w:t xml:space="preserve">5.0.10 </w:t>
      </w:r>
      <w:r>
        <w:rPr>
          <w:rFonts w:hint="eastAsia" w:ascii="Arial" w:hAnsi="Arial" w:cs="Arial"/>
          <w:sz w:val="24"/>
          <w:szCs w:val="24"/>
        </w:rPr>
        <w:t>...裙房屋面及退台屋面的保温材料燃烧性能不应低于</w:t>
      </w:r>
      <w:r>
        <w:rPr>
          <w:rFonts w:ascii="Arial" w:hAnsi="Arial" w:cs="Arial"/>
          <w:sz w:val="24"/>
          <w:szCs w:val="24"/>
        </w:rPr>
        <w:t>B</w:t>
      </w:r>
      <w:r>
        <w:rPr>
          <w:rFonts w:ascii="Arial" w:hAnsi="Arial" w:cs="Arial"/>
          <w:sz w:val="24"/>
          <w:szCs w:val="24"/>
          <w:vertAlign w:val="subscript"/>
        </w:rPr>
        <w:t>1</w:t>
      </w:r>
      <w:r>
        <w:rPr>
          <w:rFonts w:hint="eastAsia" w:ascii="Arial" w:hAnsi="Arial" w:cs="Arial"/>
          <w:sz w:val="24"/>
          <w:szCs w:val="24"/>
        </w:rPr>
        <w:t>级。采用</w:t>
      </w:r>
      <w:r>
        <w:rPr>
          <w:rFonts w:ascii="Arial" w:hAnsi="Arial" w:cs="Arial"/>
          <w:sz w:val="24"/>
          <w:szCs w:val="24"/>
        </w:rPr>
        <w:t>B</w:t>
      </w:r>
      <w:r>
        <w:rPr>
          <w:rFonts w:ascii="Arial" w:hAnsi="Arial" w:cs="Arial"/>
          <w:sz w:val="24"/>
          <w:szCs w:val="24"/>
          <w:vertAlign w:val="subscript"/>
        </w:rPr>
        <w:t>1</w:t>
      </w:r>
      <w:r>
        <w:rPr>
          <w:rFonts w:hint="eastAsia" w:ascii="Arial" w:hAnsi="Arial" w:cs="Arial"/>
          <w:sz w:val="24"/>
          <w:szCs w:val="24"/>
        </w:rPr>
        <w:t>、</w:t>
      </w:r>
      <w:r>
        <w:rPr>
          <w:rFonts w:ascii="Arial" w:hAnsi="Arial" w:cs="Arial"/>
          <w:sz w:val="24"/>
          <w:szCs w:val="24"/>
        </w:rPr>
        <w:t>B</w:t>
      </w:r>
      <w:r>
        <w:rPr>
          <w:rFonts w:ascii="Arial" w:hAnsi="Arial" w:cs="Arial"/>
          <w:sz w:val="24"/>
          <w:szCs w:val="24"/>
          <w:vertAlign w:val="subscript"/>
        </w:rPr>
        <w:t>2</w:t>
      </w:r>
      <w:r>
        <w:rPr>
          <w:rFonts w:hint="eastAsia" w:ascii="Arial" w:hAnsi="Arial" w:cs="Arial"/>
          <w:sz w:val="24"/>
          <w:szCs w:val="24"/>
        </w:rPr>
        <w:t>级保温材料的屋面保温，应采用不燃材料作保护层，保护层的厚度不应小于</w:t>
      </w:r>
      <w:r>
        <w:rPr>
          <w:rFonts w:ascii="Arial" w:hAnsi="Arial" w:cs="Arial"/>
          <w:sz w:val="24"/>
          <w:szCs w:val="24"/>
        </w:rPr>
        <w:t>10mm</w:t>
      </w:r>
      <w:r>
        <w:rPr>
          <w:rFonts w:hint="eastAsia" w:ascii="Arial" w:hAnsi="Arial" w:cs="Arial"/>
          <w:sz w:val="24"/>
          <w:szCs w:val="24"/>
        </w:rPr>
        <w:t>；倒置式屋面保温层的保护层厚度不应小于</w:t>
      </w:r>
      <w:r>
        <w:rPr>
          <w:rFonts w:ascii="Arial" w:hAnsi="Arial" w:cs="Arial"/>
          <w:sz w:val="24"/>
          <w:szCs w:val="24"/>
        </w:rPr>
        <w:t>20mm</w:t>
      </w:r>
      <w:r>
        <w:rPr>
          <w:rFonts w:hint="eastAsia" w:ascii="Arial" w:hAnsi="Arial" w:cs="Arial"/>
          <w:sz w:val="24"/>
          <w:szCs w:val="24"/>
        </w:rPr>
        <w:t>，...。</w:t>
      </w:r>
    </w:p>
    <w:p>
      <w:pPr>
        <w:spacing w:line="360" w:lineRule="auto"/>
        <w:ind w:firstLine="480"/>
        <w:rPr>
          <w:rFonts w:ascii="Arial" w:hAnsi="Arial" w:cs="Arial"/>
          <w:sz w:val="24"/>
          <w:szCs w:val="24"/>
        </w:rPr>
      </w:pPr>
    </w:p>
    <w:p>
      <w:pPr>
        <w:spacing w:line="360" w:lineRule="auto"/>
        <w:rPr>
          <w:rFonts w:ascii="Arial" w:hAnsi="Arial" w:cs="Arial"/>
          <w:sz w:val="24"/>
          <w:szCs w:val="24"/>
        </w:rPr>
      </w:pPr>
      <w:r>
        <w:rPr>
          <w:rFonts w:hint="eastAsia" w:ascii="黑体" w:hAnsi="黑体" w:eastAsia="黑体" w:cs="黑体"/>
          <w:sz w:val="24"/>
          <w:szCs w:val="24"/>
        </w:rPr>
        <w:t xml:space="preserve">《大型物流建筑消防设计标准》 </w:t>
      </w:r>
      <w:r>
        <w:rPr>
          <w:rFonts w:hint="eastAsia" w:ascii="Arial" w:hAnsi="Arial" w:cs="Arial"/>
          <w:sz w:val="24"/>
          <w:szCs w:val="24"/>
        </w:rPr>
        <w:t>DG/TJ08-2343-2020</w:t>
      </w:r>
    </w:p>
    <w:p>
      <w:pPr>
        <w:spacing w:line="360" w:lineRule="auto"/>
        <w:rPr>
          <w:rFonts w:ascii="Arial" w:hAnsi="Arial" w:cs="Arial"/>
          <w:sz w:val="24"/>
          <w:szCs w:val="24"/>
        </w:rPr>
      </w:pPr>
      <w:r>
        <w:rPr>
          <w:rFonts w:hint="eastAsia" w:ascii="Arial" w:hAnsi="Arial" w:cs="Arial"/>
          <w:sz w:val="24"/>
          <w:szCs w:val="24"/>
        </w:rPr>
        <w:t>4.0.2 大型物流建筑应至少沿一条长边设置灭火救援场地，当建筑高度大于24m或建筑的进深大于120m时，应沿2条长边设置灭火救援场地。场地的宽度不应小于10m。场地靠建筑外墙一侧的边缘距离建筑外墙不应小于5m，且不应大于15m。</w:t>
      </w:r>
    </w:p>
    <w:p>
      <w:pPr>
        <w:spacing w:line="360" w:lineRule="auto"/>
        <w:rPr>
          <w:rFonts w:ascii="Arial" w:hAnsi="Arial" w:cs="Arial"/>
          <w:sz w:val="24"/>
          <w:szCs w:val="24"/>
        </w:rPr>
      </w:pPr>
    </w:p>
    <w:p>
      <w:pPr>
        <w:spacing w:line="360" w:lineRule="auto"/>
        <w:rPr>
          <w:rFonts w:ascii="Arial" w:hAnsi="Arial" w:eastAsia="黑体" w:cs="Arial"/>
          <w:sz w:val="24"/>
          <w:szCs w:val="24"/>
        </w:rPr>
      </w:pPr>
      <w:r>
        <w:rPr>
          <w:rFonts w:hint="eastAsia" w:ascii="Arial" w:hAnsi="Arial" w:eastAsia="黑体" w:cs="Arial"/>
          <w:sz w:val="24"/>
          <w:szCs w:val="24"/>
        </w:rPr>
        <w:t>《保障性租赁住房设计标准（保障性租赁住房新建分册）》DG/TJ08-2291B-2022</w:t>
      </w:r>
    </w:p>
    <w:p>
      <w:pPr>
        <w:spacing w:line="360" w:lineRule="auto"/>
        <w:rPr>
          <w:rFonts w:ascii="Arial" w:hAnsi="Arial" w:cs="Arial"/>
          <w:sz w:val="24"/>
          <w:szCs w:val="24"/>
        </w:rPr>
      </w:pPr>
      <w:r>
        <w:rPr>
          <w:rFonts w:hint="eastAsia" w:ascii="Arial" w:hAnsi="Arial" w:cs="Arial"/>
          <w:sz w:val="24"/>
          <w:szCs w:val="24"/>
        </w:rPr>
        <w:t>9.0.3 通廊式宿舍型租赁住房居室为1、2类时，单面布置居室的公共走道净宽不应小于1.3m，双面布置居室的公走道净宽不应小于1.4m；居室为3、4、5类时，单面布置居室的公共走道净宽不应小于1.6m，双面布置居室的公走道净宽不应小于2.2m。</w:t>
      </w:r>
    </w:p>
    <w:p>
      <w:pPr>
        <w:spacing w:line="360" w:lineRule="auto"/>
        <w:rPr>
          <w:rFonts w:ascii="Arial" w:hAnsi="Arial" w:cs="Arial"/>
          <w:sz w:val="24"/>
          <w:szCs w:val="24"/>
          <w:highlight w:val="yellow"/>
        </w:rPr>
      </w:pPr>
      <w:r>
        <w:rPr>
          <w:rFonts w:hint="eastAsia" w:ascii="Arial" w:hAnsi="Arial" w:cs="Arial"/>
          <w:sz w:val="24"/>
          <w:szCs w:val="24"/>
        </w:rPr>
        <w:t>9.0.4 宿舍型租赁住房公共走道的直线疏散距离应符合下列规定：</w:t>
      </w:r>
    </w:p>
    <w:p>
      <w:pPr>
        <w:spacing w:line="360" w:lineRule="auto"/>
        <w:ind w:firstLine="480" w:firstLineChars="200"/>
        <w:rPr>
          <w:rFonts w:ascii="Arial" w:hAnsi="Arial" w:cs="Arial"/>
          <w:sz w:val="24"/>
          <w:szCs w:val="24"/>
        </w:rPr>
      </w:pPr>
      <w:r>
        <w:rPr>
          <w:rFonts w:hint="eastAsia" w:ascii="Arial" w:hAnsi="Arial" w:cs="Arial"/>
          <w:sz w:val="24"/>
          <w:szCs w:val="24"/>
        </w:rPr>
        <w:t>1 一、二级耐火等级的单多层宿舍型租赁住房，位于两个安全出口之间的疏散门至安全出口距离不应大于 40m，位于袋形走道两侧或近端的疏散门不应大于 22m。</w:t>
      </w:r>
    </w:p>
    <w:p>
      <w:pPr>
        <w:spacing w:line="360" w:lineRule="auto"/>
        <w:ind w:firstLine="480" w:firstLineChars="200"/>
        <w:rPr>
          <w:rFonts w:ascii="Arial" w:hAnsi="Arial" w:cs="Arial"/>
          <w:sz w:val="24"/>
          <w:szCs w:val="24"/>
        </w:rPr>
      </w:pPr>
      <w:r>
        <w:rPr>
          <w:rFonts w:hint="eastAsia" w:ascii="Arial" w:hAnsi="Arial" w:cs="Arial"/>
          <w:sz w:val="24"/>
          <w:szCs w:val="24"/>
        </w:rPr>
        <w:t>2 一、二级耐火等级的高层宿舍型租赁住房，位于两个安全出口之间的疏散门至安全出口距离不应大于 30m，位于袋形走道两侧或尽端的疏散门不应大于15m；</w:t>
      </w:r>
    </w:p>
    <w:p>
      <w:pPr>
        <w:spacing w:line="360" w:lineRule="auto"/>
        <w:rPr>
          <w:rFonts w:ascii="Arial" w:hAnsi="Arial" w:cs="Arial"/>
          <w:sz w:val="24"/>
          <w:szCs w:val="24"/>
        </w:rPr>
      </w:pPr>
      <w:r>
        <w:rPr>
          <w:rFonts w:hint="eastAsia" w:ascii="Arial" w:hAnsi="Arial" w:cs="Arial"/>
          <w:sz w:val="24"/>
          <w:szCs w:val="24"/>
        </w:rPr>
        <w:t>9.0.5 保障性租赁住房7层（含7层）以上建筑及高层建筑不应设置全封闭的内天井。</w:t>
      </w:r>
    </w:p>
    <w:p>
      <w:pPr>
        <w:spacing w:line="360" w:lineRule="auto"/>
        <w:rPr>
          <w:rFonts w:ascii="Arial" w:hAnsi="Arial" w:cs="Arial"/>
          <w:sz w:val="24"/>
          <w:szCs w:val="24"/>
        </w:rPr>
      </w:pPr>
    </w:p>
    <w:p>
      <w:pPr>
        <w:spacing w:line="360" w:lineRule="auto"/>
        <w:rPr>
          <w:rFonts w:ascii="Arial" w:hAnsi="Arial" w:eastAsia="黑体" w:cs="Arial"/>
          <w:sz w:val="24"/>
          <w:szCs w:val="24"/>
        </w:rPr>
      </w:pPr>
      <w:r>
        <w:rPr>
          <w:rFonts w:hint="eastAsia" w:ascii="Arial" w:hAnsi="Arial" w:eastAsia="黑体" w:cs="Arial"/>
          <w:sz w:val="24"/>
          <w:szCs w:val="24"/>
        </w:rPr>
        <w:t>《保障性租赁住房设计标准（保障性租赁住房改建分册）》DG/TJ08-2291C-2022</w:t>
      </w:r>
    </w:p>
    <w:p>
      <w:pPr>
        <w:spacing w:line="360" w:lineRule="auto"/>
        <w:rPr>
          <w:rFonts w:ascii="Arial" w:hAnsi="Arial" w:cs="Arial"/>
          <w:sz w:val="24"/>
          <w:szCs w:val="24"/>
        </w:rPr>
      </w:pPr>
      <w:r>
        <w:rPr>
          <w:rFonts w:hint="eastAsia" w:ascii="Arial" w:hAnsi="Arial" w:cs="Arial"/>
          <w:sz w:val="24"/>
          <w:szCs w:val="24"/>
        </w:rPr>
        <w:t>9.2.1局部改建为宿舍型租赁住房的建筑，不同功能区域之间应采用不开设门、窗的防火墙、耐火极限不低于2.00h的楼板与其他功能区域分隔，不应设置贯通不同功能区域的中庭、挑空空间或内天井。</w:t>
      </w:r>
    </w:p>
    <w:p>
      <w:pPr>
        <w:spacing w:line="360" w:lineRule="auto"/>
        <w:rPr>
          <w:rFonts w:ascii="Arial" w:hAnsi="Arial" w:cs="Arial"/>
          <w:sz w:val="24"/>
          <w:szCs w:val="24"/>
        </w:rPr>
      </w:pPr>
      <w:r>
        <w:rPr>
          <w:rFonts w:hint="eastAsia" w:ascii="Arial" w:hAnsi="Arial" w:cs="Arial"/>
          <w:sz w:val="24"/>
          <w:szCs w:val="24"/>
        </w:rPr>
        <w:t>9.2.2宿舍型租赁住房内设置的配套用房当符合下列要求时可布置在建筑内：</w:t>
      </w:r>
    </w:p>
    <w:p>
      <w:pPr>
        <w:spacing w:line="360" w:lineRule="auto"/>
        <w:ind w:firstLine="480" w:firstLineChars="200"/>
        <w:rPr>
          <w:rFonts w:ascii="Arial" w:hAnsi="Arial" w:cs="Arial"/>
          <w:sz w:val="24"/>
          <w:szCs w:val="24"/>
        </w:rPr>
      </w:pPr>
      <w:r>
        <w:rPr>
          <w:rFonts w:hint="eastAsia" w:ascii="Arial" w:hAnsi="Arial" w:cs="Arial"/>
          <w:sz w:val="24"/>
          <w:szCs w:val="24"/>
        </w:rPr>
        <w:t>2 公共厨房应靠外墙设置，采用不低于2.00h的防火隔墙与其他部位分隔，墙上的门应采用乙级防火门。</w:t>
      </w:r>
    </w:p>
    <w:p>
      <w:pPr>
        <w:spacing w:line="360" w:lineRule="auto"/>
        <w:rPr>
          <w:rFonts w:ascii="Arial" w:hAnsi="Arial" w:cs="Arial"/>
          <w:sz w:val="24"/>
          <w:szCs w:val="24"/>
        </w:rPr>
      </w:pPr>
      <w:r>
        <w:rPr>
          <w:rFonts w:hint="eastAsia" w:ascii="Arial" w:hAnsi="Arial" w:cs="Arial"/>
          <w:sz w:val="24"/>
          <w:szCs w:val="24"/>
        </w:rPr>
        <w:t>9.2.5整栋改建的宿舍型租赁住房的内天井，除符合相关标准要求外尚应符合以下要求：</w:t>
      </w:r>
    </w:p>
    <w:p>
      <w:pPr>
        <w:spacing w:line="360" w:lineRule="auto"/>
        <w:ind w:firstLine="480" w:firstLineChars="200"/>
        <w:rPr>
          <w:rFonts w:ascii="Arial" w:hAnsi="Arial" w:cs="Arial"/>
          <w:sz w:val="24"/>
          <w:szCs w:val="24"/>
        </w:rPr>
      </w:pPr>
      <w:r>
        <w:rPr>
          <w:rFonts w:hint="eastAsia" w:ascii="Arial" w:hAnsi="Arial" w:cs="Arial"/>
          <w:sz w:val="24"/>
          <w:szCs w:val="24"/>
        </w:rPr>
        <w:t>1 建筑外墙上、下层开口之间的实体墙高度不应小于1.2m；</w:t>
      </w:r>
    </w:p>
    <w:p>
      <w:pPr>
        <w:spacing w:line="360" w:lineRule="auto"/>
        <w:ind w:firstLine="480" w:firstLineChars="200"/>
        <w:rPr>
          <w:rFonts w:ascii="Arial" w:hAnsi="Arial" w:cs="Arial"/>
          <w:sz w:val="24"/>
          <w:szCs w:val="24"/>
        </w:rPr>
      </w:pPr>
      <w:r>
        <w:rPr>
          <w:rFonts w:hint="eastAsia" w:ascii="Arial" w:hAnsi="Arial" w:cs="Arial"/>
          <w:sz w:val="24"/>
          <w:szCs w:val="24"/>
        </w:rPr>
        <w:t>2 天井内外墙的保温材料应采用A级材料；</w:t>
      </w:r>
    </w:p>
    <w:p>
      <w:pPr>
        <w:spacing w:line="360" w:lineRule="auto"/>
        <w:rPr>
          <w:rFonts w:ascii="Arial" w:hAnsi="Arial" w:cs="Arial"/>
          <w:sz w:val="24"/>
          <w:szCs w:val="24"/>
        </w:rPr>
      </w:pPr>
      <w:r>
        <w:rPr>
          <w:rFonts w:hint="eastAsia" w:ascii="Arial" w:hAnsi="Arial" w:cs="Arial"/>
          <w:sz w:val="24"/>
          <w:szCs w:val="24"/>
        </w:rPr>
        <w:t>9.3.3 宿舍型租赁住房的安全出口、疏散走道、疏散楼梯的宽度应符合：</w:t>
      </w:r>
    </w:p>
    <w:p>
      <w:pPr>
        <w:spacing w:line="360" w:lineRule="auto"/>
        <w:ind w:firstLine="480" w:firstLineChars="200"/>
        <w:rPr>
          <w:rFonts w:ascii="Arial" w:hAnsi="Arial" w:cs="Arial"/>
          <w:sz w:val="24"/>
          <w:szCs w:val="24"/>
        </w:rPr>
      </w:pPr>
      <w:r>
        <w:rPr>
          <w:rFonts w:hint="eastAsia" w:ascii="Arial" w:hAnsi="Arial" w:cs="Arial"/>
          <w:sz w:val="24"/>
          <w:szCs w:val="24"/>
        </w:rPr>
        <w:t>3 满足本规范4.2.1条的1、2类通廊式宿舍疏散走道的净宽度，当单面布置居室时不应小于1.30m，当双面布置居室时不应小于1.40m；满足本规范4.2.1条的3、4、5类通廊式宿舍疏散走道的净宽度，当单面布置居室时不应小于1.60m，当双面布置居室时不应小于 2.20m；</w:t>
      </w:r>
      <w:r>
        <w:rPr>
          <w:rFonts w:hint="eastAsia" w:ascii="Arial" w:hAnsi="Arial" w:cs="Arial"/>
          <w:sz w:val="24"/>
          <w:szCs w:val="24"/>
        </w:rPr>
        <w:cr/>
      </w:r>
      <w:r>
        <w:rPr>
          <w:rFonts w:hint="eastAsia" w:ascii="Arial" w:hAnsi="Arial" w:cs="Arial"/>
          <w:sz w:val="24"/>
          <w:szCs w:val="24"/>
        </w:rPr>
        <w:t>9.3.4 宿舍型租赁住房公共走道的直线疏散距离应符合以下要求：</w:t>
      </w:r>
    </w:p>
    <w:p>
      <w:pPr>
        <w:spacing w:line="360" w:lineRule="auto"/>
        <w:ind w:firstLine="480" w:firstLineChars="200"/>
        <w:rPr>
          <w:rFonts w:ascii="Arial" w:hAnsi="Arial" w:cs="Arial"/>
          <w:sz w:val="24"/>
          <w:szCs w:val="24"/>
        </w:rPr>
      </w:pPr>
      <w:r>
        <w:rPr>
          <w:rFonts w:hint="eastAsia" w:ascii="Arial" w:hAnsi="Arial" w:cs="Arial"/>
          <w:sz w:val="24"/>
          <w:szCs w:val="24"/>
        </w:rPr>
        <w:t>1 一、二级耐火等级的单、多层宿舍型租赁住房，位于两个安全出口之间的疏散门至安全出口的直线距离不应大于40m，位于袋形走道两侧或尽端的疏散门至安全出口的直线距离不应大于22m；</w:t>
      </w:r>
    </w:p>
    <w:p>
      <w:pPr>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ascii="Arial" w:hAnsi="Arial" w:cs="Arial"/>
          <w:sz w:val="24"/>
          <w:szCs w:val="24"/>
        </w:rPr>
      </w:pPr>
      <w:r>
        <w:rPr>
          <w:rFonts w:hint="eastAsia" w:ascii="Arial" w:hAnsi="Arial" w:cs="Arial"/>
          <w:sz w:val="24"/>
          <w:szCs w:val="24"/>
        </w:rPr>
        <w:t>2 一、二级耐火等级的高层宿舍型租赁住房，位于两个安全出口之间的疏散门至安全出口的直线距离不应大于30m，位于袋形走道两侧或尽端的疏散门至安全出口的直线距离不应大于15m。</w:t>
      </w:r>
    </w:p>
    <w:p>
      <w:pPr>
        <w:pStyle w:val="3"/>
        <w:pageBreakBefore w:val="0"/>
        <w:widowControl w:val="0"/>
        <w:numPr>
          <w:ilvl w:val="1"/>
          <w:numId w:val="0"/>
        </w:numPr>
        <w:kinsoku/>
        <w:wordWrap/>
        <w:overflowPunct/>
        <w:topLinePunct w:val="0"/>
        <w:autoSpaceDE/>
        <w:autoSpaceDN/>
        <w:bidi w:val="0"/>
        <w:adjustRightInd/>
        <w:snapToGrid/>
        <w:spacing w:before="157" w:beforeLines="50" w:after="0"/>
        <w:ind w:left="3261" w:leftChars="0"/>
        <w:jc w:val="both"/>
        <w:textAlignment w:val="auto"/>
      </w:pPr>
      <w:r>
        <w:rPr>
          <w:rFonts w:hint="eastAsia"/>
          <w:lang w:val="en-US" w:eastAsia="zh-CN"/>
        </w:rPr>
        <w:t>1.3</w:t>
      </w:r>
      <w:r>
        <w:rPr>
          <w:rFonts w:hint="eastAsia"/>
        </w:rPr>
        <w:t xml:space="preserve"> </w:t>
      </w:r>
      <w:bookmarkStart w:id="4" w:name="_Toc118119904"/>
      <w:r>
        <w:t>建筑</w:t>
      </w:r>
      <w:r>
        <w:rPr>
          <w:rFonts w:hint="eastAsia"/>
        </w:rPr>
        <w:t>节能</w:t>
      </w:r>
      <w:bookmarkEnd w:id="4"/>
    </w:p>
    <w:p>
      <w:pPr>
        <w:pageBreakBefore w:val="0"/>
        <w:widowControl w:val="0"/>
        <w:kinsoku/>
        <w:wordWrap/>
        <w:overflowPunct/>
        <w:topLinePunct w:val="0"/>
        <w:autoSpaceDE/>
        <w:autoSpaceDN/>
        <w:bidi w:val="0"/>
        <w:adjustRightInd/>
        <w:snapToGrid/>
        <w:spacing w:before="157" w:beforeLines="50" w:line="360" w:lineRule="auto"/>
        <w:textAlignment w:val="auto"/>
        <w:rPr>
          <w:rFonts w:ascii="Arial" w:hAnsi="Arial" w:cs="Arial"/>
          <w:sz w:val="24"/>
          <w:szCs w:val="24"/>
        </w:rPr>
      </w:pPr>
      <w:r>
        <w:rPr>
          <w:rFonts w:hint="eastAsia" w:ascii="黑体" w:hAnsi="黑体" w:eastAsia="黑体" w:cs="黑体"/>
          <w:sz w:val="24"/>
          <w:szCs w:val="24"/>
        </w:rPr>
        <w:t>《公共建筑节能设计标准》</w:t>
      </w:r>
      <w:r>
        <w:rPr>
          <w:rFonts w:hint="eastAsia" w:ascii="Arial" w:hAnsi="Arial" w:cs="Arial"/>
          <w:sz w:val="24"/>
          <w:szCs w:val="24"/>
        </w:rPr>
        <w:t>DGJ08-107-2015</w:t>
      </w:r>
    </w:p>
    <w:p>
      <w:pPr>
        <w:spacing w:line="360" w:lineRule="auto"/>
        <w:rPr>
          <w:rFonts w:ascii="Arial" w:hAnsi="Arial" w:cs="Arial"/>
          <w:sz w:val="24"/>
          <w:szCs w:val="24"/>
        </w:rPr>
      </w:pPr>
      <w:r>
        <w:rPr>
          <w:rFonts w:hint="eastAsia" w:ascii="Arial" w:hAnsi="Arial" w:cs="Arial"/>
          <w:sz w:val="24"/>
          <w:szCs w:val="24"/>
        </w:rPr>
        <w:t>3.1.1 公共建筑分类应符合下列要求：</w:t>
      </w:r>
    </w:p>
    <w:p>
      <w:pPr>
        <w:spacing w:line="360" w:lineRule="auto"/>
        <w:ind w:firstLine="420" w:firstLineChars="175"/>
        <w:rPr>
          <w:rFonts w:ascii="Arial" w:hAnsi="Arial" w:cs="Arial"/>
          <w:sz w:val="24"/>
          <w:szCs w:val="24"/>
        </w:rPr>
      </w:pPr>
      <w:r>
        <w:rPr>
          <w:rFonts w:hint="eastAsia" w:ascii="Arial" w:hAnsi="Arial" w:cs="Arial"/>
          <w:sz w:val="24"/>
          <w:szCs w:val="24"/>
        </w:rPr>
        <w:t>1 单栋建筑面积大于300m</w:t>
      </w:r>
      <w:r>
        <w:rPr>
          <w:rFonts w:hint="eastAsia" w:ascii="Arial" w:hAnsi="Arial" w:cs="Arial"/>
          <w:sz w:val="24"/>
          <w:szCs w:val="24"/>
          <w:vertAlign w:val="superscript"/>
        </w:rPr>
        <w:t>2</w:t>
      </w:r>
      <w:r>
        <w:rPr>
          <w:rFonts w:hint="eastAsia" w:ascii="Arial" w:hAnsi="Arial" w:cs="Arial"/>
          <w:sz w:val="24"/>
          <w:szCs w:val="24"/>
        </w:rPr>
        <w:t>的建筑，为甲类建筑。</w:t>
      </w:r>
    </w:p>
    <w:p>
      <w:pPr>
        <w:spacing w:line="360" w:lineRule="auto"/>
        <w:ind w:firstLine="420" w:firstLineChars="175"/>
        <w:rPr>
          <w:rFonts w:ascii="Arial" w:hAnsi="Arial" w:cs="Arial"/>
          <w:sz w:val="24"/>
          <w:szCs w:val="24"/>
        </w:rPr>
      </w:pPr>
      <w:r>
        <w:rPr>
          <w:rFonts w:hint="eastAsia" w:ascii="Arial" w:hAnsi="Arial" w:cs="Arial"/>
          <w:sz w:val="24"/>
          <w:szCs w:val="24"/>
        </w:rPr>
        <w:t>2 单栋建筑面积小于等于300m</w:t>
      </w:r>
      <w:r>
        <w:rPr>
          <w:rFonts w:hint="eastAsia" w:ascii="Arial" w:hAnsi="Arial" w:cs="Arial"/>
          <w:sz w:val="24"/>
          <w:szCs w:val="24"/>
          <w:vertAlign w:val="superscript"/>
        </w:rPr>
        <w:t>2</w:t>
      </w:r>
      <w:r>
        <w:rPr>
          <w:rFonts w:hint="eastAsia" w:ascii="Arial" w:hAnsi="Arial" w:cs="Arial"/>
          <w:sz w:val="24"/>
          <w:szCs w:val="24"/>
        </w:rPr>
        <w:t>的建筑，为乙类建筑。</w:t>
      </w:r>
    </w:p>
    <w:p>
      <w:pPr>
        <w:spacing w:line="360" w:lineRule="auto"/>
        <w:rPr>
          <w:rFonts w:ascii="Arial" w:hAnsi="Arial" w:cs="Arial"/>
          <w:sz w:val="24"/>
          <w:szCs w:val="24"/>
        </w:rPr>
      </w:pPr>
      <w:r>
        <w:rPr>
          <w:rFonts w:hint="eastAsia" w:ascii="Arial" w:hAnsi="Arial" w:cs="Arial"/>
          <w:sz w:val="24"/>
          <w:szCs w:val="24"/>
        </w:rPr>
        <w:t>3.2.3 单一立面窗墙比小于0.40 时，玻璃（或其他透光材料）的可见光透射比</w:t>
      </w:r>
    </w:p>
    <w:p>
      <w:pPr>
        <w:spacing w:line="360" w:lineRule="auto"/>
        <w:rPr>
          <w:rFonts w:ascii="Arial" w:hAnsi="Arial" w:cs="Arial"/>
          <w:sz w:val="24"/>
          <w:szCs w:val="24"/>
        </w:rPr>
      </w:pPr>
      <w:r>
        <w:rPr>
          <w:rFonts w:hint="eastAsia" w:ascii="Arial" w:hAnsi="Arial" w:cs="Arial"/>
          <w:sz w:val="24"/>
          <w:szCs w:val="24"/>
        </w:rPr>
        <w:t>不应小于0.60；甲类建筑单一立面窗墙比大于等于0.40 时，玻璃（或其他透明材料）的可见光透射比不应小于0.40。</w:t>
      </w:r>
    </w:p>
    <w:p>
      <w:pPr>
        <w:spacing w:line="360" w:lineRule="auto"/>
        <w:rPr>
          <w:rFonts w:ascii="Arial" w:hAnsi="Arial" w:cs="Arial"/>
          <w:sz w:val="24"/>
          <w:szCs w:val="24"/>
        </w:rPr>
      </w:pPr>
      <w:r>
        <w:rPr>
          <w:rFonts w:hint="eastAsia" w:ascii="Arial" w:hAnsi="Arial" w:cs="Arial"/>
          <w:sz w:val="24"/>
          <w:szCs w:val="24"/>
        </w:rPr>
        <w:t>3.2.6 外窗气密性等级不应低于：q1［m</w:t>
      </w:r>
      <w:r>
        <w:rPr>
          <w:rFonts w:hint="eastAsia" w:ascii="Arial" w:hAnsi="Arial" w:cs="Arial"/>
          <w:sz w:val="24"/>
          <w:szCs w:val="24"/>
          <w:vertAlign w:val="superscript"/>
        </w:rPr>
        <w:t>3</w:t>
      </w:r>
      <w:r>
        <w:rPr>
          <w:rFonts w:hint="eastAsia" w:ascii="Arial" w:hAnsi="Arial" w:cs="Arial"/>
          <w:sz w:val="24"/>
          <w:szCs w:val="24"/>
        </w:rPr>
        <w:t>/（m•h）］≤1.5，q2［m</w:t>
      </w:r>
      <w:r>
        <w:rPr>
          <w:rFonts w:hint="eastAsia" w:ascii="Arial" w:hAnsi="Arial" w:cs="Arial"/>
          <w:sz w:val="24"/>
          <w:szCs w:val="24"/>
          <w:vertAlign w:val="superscript"/>
        </w:rPr>
        <w:t>3</w:t>
      </w:r>
      <w:r>
        <w:rPr>
          <w:rFonts w:hint="eastAsia" w:ascii="Arial" w:hAnsi="Arial" w:cs="Arial"/>
          <w:sz w:val="24"/>
          <w:szCs w:val="24"/>
        </w:rPr>
        <w:t>/（m</w:t>
      </w:r>
      <w:r>
        <w:rPr>
          <w:rFonts w:hint="eastAsia" w:ascii="Arial" w:hAnsi="Arial" w:cs="Arial"/>
          <w:sz w:val="24"/>
          <w:szCs w:val="24"/>
          <w:vertAlign w:val="superscript"/>
        </w:rPr>
        <w:t>2</w:t>
      </w:r>
      <w:r>
        <w:rPr>
          <w:rFonts w:hint="eastAsia" w:ascii="Arial" w:hAnsi="Arial" w:cs="Arial"/>
          <w:sz w:val="24"/>
          <w:szCs w:val="24"/>
        </w:rPr>
        <w:t>•h）］≤4.5。</w:t>
      </w:r>
    </w:p>
    <w:p>
      <w:pPr>
        <w:spacing w:line="360" w:lineRule="auto"/>
        <w:rPr>
          <w:rFonts w:ascii="Arial" w:hAnsi="Arial" w:cs="Arial"/>
          <w:sz w:val="24"/>
          <w:szCs w:val="24"/>
        </w:rPr>
      </w:pPr>
      <w:r>
        <w:rPr>
          <w:rFonts w:hint="eastAsia" w:ascii="Arial" w:hAnsi="Arial" w:cs="Arial"/>
          <w:sz w:val="24"/>
          <w:szCs w:val="24"/>
        </w:rPr>
        <w:t>3.2.7 玻璃幕墙的气密性等级不应低于：建筑幕墙开启部分为ql ［m</w:t>
      </w:r>
      <w:r>
        <w:rPr>
          <w:rFonts w:hint="eastAsia" w:ascii="Arial" w:hAnsi="Arial" w:cs="Arial"/>
          <w:sz w:val="24"/>
          <w:szCs w:val="24"/>
          <w:vertAlign w:val="superscript"/>
        </w:rPr>
        <w:t>3</w:t>
      </w:r>
      <w:r>
        <w:rPr>
          <w:rFonts w:hint="eastAsia" w:ascii="Arial" w:hAnsi="Arial" w:cs="Arial"/>
          <w:sz w:val="24"/>
          <w:szCs w:val="24"/>
        </w:rPr>
        <w:t>（/ m•h）］≤1.5，整体（含开启部分）qA［m</w:t>
      </w:r>
      <w:r>
        <w:rPr>
          <w:rFonts w:hint="eastAsia" w:ascii="Arial" w:hAnsi="Arial" w:cs="Arial"/>
          <w:sz w:val="24"/>
          <w:szCs w:val="24"/>
          <w:vertAlign w:val="superscript"/>
        </w:rPr>
        <w:t>3</w:t>
      </w:r>
      <w:r>
        <w:rPr>
          <w:rFonts w:hint="eastAsia" w:ascii="Arial" w:hAnsi="Arial" w:cs="Arial"/>
          <w:sz w:val="24"/>
          <w:szCs w:val="24"/>
        </w:rPr>
        <w:t>/（m</w:t>
      </w:r>
      <w:r>
        <w:rPr>
          <w:rFonts w:hint="eastAsia" w:ascii="Arial" w:hAnsi="Arial" w:cs="Arial"/>
          <w:sz w:val="24"/>
          <w:szCs w:val="24"/>
          <w:vertAlign w:val="superscript"/>
        </w:rPr>
        <w:t>2</w:t>
      </w:r>
      <w:r>
        <w:rPr>
          <w:rFonts w:hint="eastAsia" w:ascii="Arial" w:hAnsi="Arial" w:cs="Arial"/>
          <w:sz w:val="24"/>
          <w:szCs w:val="24"/>
        </w:rPr>
        <w:t>•h）］≤1.2。</w:t>
      </w:r>
    </w:p>
    <w:p>
      <w:pPr>
        <w:spacing w:line="360" w:lineRule="auto"/>
        <w:rPr>
          <w:rFonts w:ascii="Arial" w:hAnsi="Arial" w:cs="Arial"/>
          <w:sz w:val="24"/>
          <w:szCs w:val="24"/>
        </w:rPr>
      </w:pPr>
      <w:r>
        <w:rPr>
          <w:rFonts w:hint="eastAsia" w:ascii="Arial" w:hAnsi="Arial" w:cs="Arial"/>
          <w:sz w:val="24"/>
          <w:szCs w:val="24"/>
        </w:rPr>
        <w:t>3.4.3 建筑设置外凸窗时，凸窗传热系数应比表3.3.1-1、表3.3.1-2 规定限值减少10%；凸窗不透明的底部、顶部和侧板应做保温处理，传热系数不应大于2.0W/(m</w:t>
      </w:r>
      <w:r>
        <w:rPr>
          <w:rFonts w:hint="eastAsia" w:ascii="Arial" w:hAnsi="Arial" w:cs="Arial"/>
          <w:sz w:val="24"/>
          <w:szCs w:val="24"/>
          <w:vertAlign w:val="superscript"/>
        </w:rPr>
        <w:t>2</w:t>
      </w:r>
      <w:r>
        <w:rPr>
          <w:rFonts w:hint="eastAsia" w:ascii="Arial" w:hAnsi="Arial" w:cs="Arial"/>
          <w:sz w:val="24"/>
          <w:szCs w:val="24"/>
        </w:rPr>
        <w:t>•K)。</w:t>
      </w:r>
    </w:p>
    <w:p>
      <w:pPr>
        <w:spacing w:line="360" w:lineRule="auto"/>
        <w:rPr>
          <w:rFonts w:hint="eastAsia" w:ascii="黑体" w:hAnsi="黑体" w:eastAsia="黑体" w:cs="黑体"/>
          <w:sz w:val="24"/>
          <w:szCs w:val="24"/>
        </w:rPr>
      </w:pPr>
    </w:p>
    <w:p>
      <w:pPr>
        <w:spacing w:line="360" w:lineRule="auto"/>
        <w:rPr>
          <w:rFonts w:ascii="Arial" w:hAnsi="Arial" w:cs="Arial"/>
          <w:sz w:val="24"/>
          <w:szCs w:val="24"/>
        </w:rPr>
      </w:pPr>
      <w:r>
        <w:rPr>
          <w:rFonts w:hint="eastAsia" w:ascii="黑体" w:hAnsi="黑体" w:eastAsia="黑体" w:cs="黑体"/>
          <w:sz w:val="24"/>
          <w:szCs w:val="24"/>
        </w:rPr>
        <w:t>《居住建筑节能设计标准》</w:t>
      </w:r>
      <w:r>
        <w:rPr>
          <w:rFonts w:hint="eastAsia" w:ascii="Arial" w:hAnsi="Arial" w:cs="Arial"/>
          <w:sz w:val="24"/>
          <w:szCs w:val="24"/>
        </w:rPr>
        <w:t>DGJ 08-205-2015</w:t>
      </w:r>
    </w:p>
    <w:p>
      <w:pPr>
        <w:spacing w:line="360" w:lineRule="auto"/>
        <w:rPr>
          <w:rFonts w:ascii="Arial" w:hAnsi="Arial" w:cs="Arial"/>
          <w:sz w:val="24"/>
          <w:szCs w:val="24"/>
        </w:rPr>
      </w:pPr>
      <w:r>
        <w:rPr>
          <w:rFonts w:hint="eastAsia" w:ascii="Arial" w:hAnsi="Arial" w:cs="Arial"/>
          <w:sz w:val="24"/>
          <w:szCs w:val="24"/>
        </w:rPr>
        <w:t>2.0.11 外墙平均传热系数</w:t>
      </w:r>
    </w:p>
    <w:p>
      <w:pPr>
        <w:spacing w:line="360" w:lineRule="auto"/>
        <w:ind w:firstLine="420" w:firstLineChars="175"/>
        <w:rPr>
          <w:rFonts w:ascii="Arial" w:hAnsi="Arial" w:cs="Arial"/>
          <w:sz w:val="24"/>
          <w:szCs w:val="24"/>
        </w:rPr>
      </w:pPr>
      <w:r>
        <w:rPr>
          <w:rFonts w:hint="eastAsia" w:ascii="Arial" w:hAnsi="Arial" w:cs="Arial"/>
          <w:sz w:val="24"/>
          <w:szCs w:val="24"/>
        </w:rPr>
        <w:t>本标准计算取值：钢筋混凝土剪力墙结构按单一钢筋混凝土材料取值；其他结构类型为标准层主要朝向最大窗墙比的卧室外墙材料计算取值。</w:t>
      </w:r>
    </w:p>
    <w:p>
      <w:pPr>
        <w:spacing w:line="360" w:lineRule="auto"/>
        <w:rPr>
          <w:rFonts w:ascii="Arial" w:hAnsi="Arial" w:cs="Arial"/>
          <w:sz w:val="24"/>
          <w:szCs w:val="24"/>
        </w:rPr>
      </w:pPr>
      <w:r>
        <w:rPr>
          <w:rFonts w:hint="eastAsia" w:ascii="Arial" w:hAnsi="Arial" w:cs="Arial"/>
          <w:sz w:val="24"/>
          <w:szCs w:val="24"/>
        </w:rPr>
        <w:t>4.0.14 居住建筑不宜设置凸窗。当设置凸窗时，应符合下列要求：</w:t>
      </w:r>
    </w:p>
    <w:p>
      <w:pPr>
        <w:spacing w:line="360" w:lineRule="auto"/>
        <w:ind w:firstLine="420" w:firstLineChars="175"/>
        <w:rPr>
          <w:rFonts w:ascii="Arial" w:hAnsi="Arial" w:cs="Arial"/>
          <w:sz w:val="24"/>
          <w:szCs w:val="24"/>
        </w:rPr>
      </w:pPr>
      <w:r>
        <w:rPr>
          <w:rFonts w:hint="eastAsia" w:ascii="Arial" w:hAnsi="Arial" w:cs="Arial"/>
          <w:sz w:val="24"/>
          <w:szCs w:val="24"/>
        </w:rPr>
        <w:t>1 凸窗传热系数应比表4.0.5-2 限值减少10%。</w:t>
      </w:r>
    </w:p>
    <w:p>
      <w:pPr>
        <w:spacing w:line="360" w:lineRule="auto"/>
        <w:ind w:firstLine="420" w:firstLineChars="175"/>
        <w:rPr>
          <w:rFonts w:ascii="Arial" w:hAnsi="Arial" w:cs="Arial"/>
          <w:sz w:val="24"/>
          <w:szCs w:val="24"/>
        </w:rPr>
      </w:pPr>
      <w:r>
        <w:rPr>
          <w:rFonts w:hint="eastAsia" w:ascii="Arial" w:hAnsi="Arial" w:cs="Arial"/>
          <w:sz w:val="24"/>
          <w:szCs w:val="24"/>
        </w:rPr>
        <w:t>2 凸窗的面积应按洞口面积计。</w:t>
      </w:r>
    </w:p>
    <w:p>
      <w:pPr>
        <w:spacing w:line="360" w:lineRule="auto"/>
        <w:ind w:firstLine="420" w:firstLineChars="175"/>
        <w:rPr>
          <w:rFonts w:ascii="Arial" w:hAnsi="Arial" w:cs="Arial"/>
          <w:sz w:val="24"/>
          <w:szCs w:val="24"/>
        </w:rPr>
      </w:pPr>
      <w:r>
        <w:rPr>
          <w:rFonts w:hint="eastAsia" w:ascii="Arial" w:hAnsi="Arial" w:cs="Arial"/>
          <w:sz w:val="24"/>
          <w:szCs w:val="24"/>
        </w:rPr>
        <w:t>3 凸窗的顶板，底板及侧向不透明部分应采取保温措施，其传热系数不应大于2.0W/(m</w:t>
      </w:r>
      <w:r>
        <w:rPr>
          <w:rFonts w:hint="eastAsia" w:ascii="Arial" w:hAnsi="Arial" w:cs="Arial"/>
          <w:sz w:val="24"/>
          <w:szCs w:val="24"/>
          <w:vertAlign w:val="superscript"/>
        </w:rPr>
        <w:t>2</w:t>
      </w:r>
      <w:r>
        <w:rPr>
          <w:rFonts w:hint="eastAsia" w:ascii="Arial" w:hAnsi="Arial" w:cs="Arial"/>
          <w:sz w:val="24"/>
          <w:szCs w:val="24"/>
        </w:rPr>
        <w:t>•K)。</w:t>
      </w:r>
    </w:p>
    <w:p>
      <w:pPr>
        <w:pStyle w:val="3"/>
        <w:keepNext/>
        <w:keepLines/>
        <w:pageBreakBefore w:val="0"/>
        <w:widowControl w:val="0"/>
        <w:numPr>
          <w:ilvl w:val="1"/>
          <w:numId w:val="0"/>
        </w:numPr>
        <w:kinsoku/>
        <w:wordWrap/>
        <w:overflowPunct/>
        <w:topLinePunct w:val="0"/>
        <w:autoSpaceDE/>
        <w:autoSpaceDN/>
        <w:bidi w:val="0"/>
        <w:adjustRightInd/>
        <w:snapToGrid/>
        <w:spacing w:before="157" w:beforeLines="50" w:after="0"/>
        <w:jc w:val="center"/>
        <w:textAlignment w:val="auto"/>
      </w:pPr>
      <w:bookmarkStart w:id="5" w:name="_Toc118119905"/>
      <w:r>
        <w:rPr>
          <w:rFonts w:hint="eastAsia"/>
          <w:lang w:val="en-US" w:eastAsia="zh-CN"/>
        </w:rPr>
        <w:t>1.4</w:t>
      </w:r>
      <w:r>
        <w:t>引用标准名录及条款号</w:t>
      </w:r>
      <w:bookmarkEnd w:id="5"/>
    </w:p>
    <w:p>
      <w:pPr>
        <w:pStyle w:val="78"/>
        <w:numPr>
          <w:ilvl w:val="0"/>
          <w:numId w:val="5"/>
        </w:numPr>
        <w:spacing w:line="360" w:lineRule="auto"/>
        <w:ind w:firstLineChars="0"/>
        <w:rPr>
          <w:rFonts w:ascii="Arial" w:hAnsi="Arial" w:cs="Arial"/>
          <w:kern w:val="0"/>
          <w:sz w:val="24"/>
          <w:szCs w:val="24"/>
        </w:rPr>
      </w:pPr>
      <w:r>
        <w:rPr>
          <w:rFonts w:ascii="Arial" w:hAnsi="Arial" w:cs="Arial"/>
          <w:kern w:val="0"/>
          <w:sz w:val="24"/>
          <w:szCs w:val="24"/>
        </w:rPr>
        <w:t>《住宅设计标准》DGJ 08-20-201</w:t>
      </w:r>
      <w:r>
        <w:rPr>
          <w:rFonts w:hint="eastAsia" w:ascii="Arial" w:hAnsi="Arial" w:cs="Arial"/>
          <w:kern w:val="0"/>
          <w:sz w:val="24"/>
          <w:szCs w:val="24"/>
        </w:rPr>
        <w:t>9（2022年局部修订）</w:t>
      </w:r>
    </w:p>
    <w:p>
      <w:pPr>
        <w:spacing w:line="360" w:lineRule="auto"/>
        <w:ind w:firstLine="480" w:firstLineChars="200"/>
        <w:rPr>
          <w:rFonts w:ascii="Arial" w:hAnsi="Arial" w:cs="Arial"/>
          <w:kern w:val="0"/>
          <w:sz w:val="24"/>
          <w:szCs w:val="24"/>
        </w:rPr>
      </w:pPr>
      <w:r>
        <w:rPr>
          <w:rFonts w:ascii="Arial" w:hAnsi="Arial" w:cs="Arial"/>
          <w:kern w:val="0"/>
          <w:sz w:val="24"/>
          <w:szCs w:val="24"/>
        </w:rPr>
        <w:t>4.4.1、4.4.2、4.6.</w:t>
      </w:r>
      <w:r>
        <w:rPr>
          <w:rFonts w:hint="eastAsia" w:ascii="Arial" w:hAnsi="Arial" w:cs="Arial"/>
          <w:kern w:val="0"/>
          <w:sz w:val="24"/>
          <w:szCs w:val="24"/>
        </w:rPr>
        <w:t>2</w:t>
      </w:r>
      <w:r>
        <w:rPr>
          <w:rFonts w:ascii="Arial" w:hAnsi="Arial" w:cs="Arial"/>
          <w:kern w:val="0"/>
          <w:sz w:val="24"/>
          <w:szCs w:val="24"/>
        </w:rPr>
        <w:t>、4.6.</w:t>
      </w:r>
      <w:r>
        <w:rPr>
          <w:rFonts w:hint="eastAsia" w:ascii="Arial" w:hAnsi="Arial" w:cs="Arial"/>
          <w:kern w:val="0"/>
          <w:sz w:val="24"/>
          <w:szCs w:val="24"/>
        </w:rPr>
        <w:t>3</w:t>
      </w:r>
      <w:r>
        <w:rPr>
          <w:rFonts w:ascii="Arial" w:hAnsi="Arial" w:cs="Arial"/>
          <w:kern w:val="0"/>
          <w:sz w:val="24"/>
          <w:szCs w:val="24"/>
        </w:rPr>
        <w:t>、5.1.</w:t>
      </w:r>
      <w:r>
        <w:rPr>
          <w:rFonts w:hint="eastAsia" w:ascii="Arial" w:hAnsi="Arial" w:cs="Arial"/>
          <w:kern w:val="0"/>
          <w:sz w:val="24"/>
          <w:szCs w:val="24"/>
        </w:rPr>
        <w:t>5</w:t>
      </w:r>
      <w:r>
        <w:rPr>
          <w:rFonts w:ascii="Arial" w:hAnsi="Arial" w:cs="Arial"/>
          <w:kern w:val="0"/>
          <w:sz w:val="24"/>
          <w:szCs w:val="24"/>
        </w:rPr>
        <w:t>、</w:t>
      </w:r>
      <w:r>
        <w:rPr>
          <w:rFonts w:hint="eastAsia" w:ascii="Arial" w:hAnsi="Arial" w:cs="Arial"/>
          <w:kern w:val="0"/>
          <w:sz w:val="24"/>
          <w:szCs w:val="24"/>
        </w:rPr>
        <w:t>5.3.5、</w:t>
      </w:r>
      <w:r>
        <w:rPr>
          <w:rFonts w:ascii="Arial" w:hAnsi="Arial" w:cs="Arial"/>
          <w:kern w:val="0"/>
          <w:sz w:val="24"/>
          <w:szCs w:val="24"/>
        </w:rPr>
        <w:t>7.6.</w:t>
      </w:r>
      <w:r>
        <w:rPr>
          <w:rFonts w:hint="eastAsia" w:ascii="Arial" w:hAnsi="Arial" w:cs="Arial"/>
          <w:kern w:val="0"/>
          <w:sz w:val="24"/>
          <w:szCs w:val="24"/>
        </w:rPr>
        <w:t>5</w:t>
      </w:r>
    </w:p>
    <w:p>
      <w:pPr>
        <w:pStyle w:val="78"/>
        <w:numPr>
          <w:ilvl w:val="0"/>
          <w:numId w:val="5"/>
        </w:numPr>
        <w:spacing w:line="360" w:lineRule="auto"/>
        <w:ind w:firstLineChars="0"/>
        <w:rPr>
          <w:rFonts w:ascii="Arial" w:hAnsi="Arial" w:cs="Arial"/>
          <w:kern w:val="0"/>
          <w:sz w:val="24"/>
          <w:szCs w:val="24"/>
        </w:rPr>
      </w:pPr>
      <w:bookmarkStart w:id="6" w:name="_Toc390087999"/>
      <w:bookmarkEnd w:id="6"/>
      <w:bookmarkStart w:id="7" w:name="_Toc401217752"/>
      <w:bookmarkEnd w:id="7"/>
      <w:bookmarkStart w:id="8" w:name="_Toc390075155"/>
      <w:bookmarkEnd w:id="8"/>
      <w:bookmarkStart w:id="9" w:name="_Toc398640106"/>
      <w:bookmarkEnd w:id="9"/>
      <w:r>
        <w:rPr>
          <w:rFonts w:hint="eastAsia" w:ascii="Arial" w:hAnsi="Arial" w:cs="Arial"/>
          <w:kern w:val="0"/>
          <w:sz w:val="24"/>
          <w:szCs w:val="24"/>
        </w:rPr>
        <w:t>《建筑幕墙工程技术标准》DG/TJ08-56-2019</w:t>
      </w:r>
    </w:p>
    <w:p>
      <w:pPr>
        <w:spacing w:line="360" w:lineRule="auto"/>
        <w:ind w:firstLine="480" w:firstLineChars="200"/>
        <w:rPr>
          <w:rFonts w:ascii="Arial" w:hAnsi="Arial" w:cs="Arial"/>
          <w:sz w:val="24"/>
          <w:szCs w:val="24"/>
        </w:rPr>
      </w:pPr>
      <w:r>
        <w:rPr>
          <w:rFonts w:hint="eastAsia" w:ascii="Arial" w:hAnsi="Arial" w:cs="Arial"/>
          <w:sz w:val="24"/>
          <w:szCs w:val="24"/>
        </w:rPr>
        <w:t>4.3.6、7.1.6-3</w:t>
      </w:r>
    </w:p>
    <w:p>
      <w:pPr>
        <w:pStyle w:val="78"/>
        <w:numPr>
          <w:ilvl w:val="0"/>
          <w:numId w:val="5"/>
        </w:numPr>
        <w:spacing w:line="360" w:lineRule="auto"/>
        <w:ind w:firstLineChars="0"/>
        <w:rPr>
          <w:rFonts w:ascii="Arial" w:hAnsi="Arial" w:cs="Arial"/>
          <w:kern w:val="0"/>
          <w:sz w:val="24"/>
          <w:szCs w:val="24"/>
        </w:rPr>
      </w:pPr>
      <w:r>
        <w:rPr>
          <w:rFonts w:ascii="Arial" w:hAnsi="Arial" w:cs="Arial"/>
          <w:kern w:val="0"/>
          <w:sz w:val="24"/>
          <w:szCs w:val="24"/>
        </w:rPr>
        <w:t>《展览建筑及布展设计防火规程》DGJ08-2173-2016</w:t>
      </w:r>
    </w:p>
    <w:p>
      <w:pPr>
        <w:spacing w:line="360" w:lineRule="auto"/>
        <w:ind w:firstLine="480" w:firstLineChars="200"/>
        <w:rPr>
          <w:rFonts w:ascii="Arial" w:hAnsi="Arial" w:cs="Arial"/>
          <w:kern w:val="0"/>
          <w:sz w:val="24"/>
          <w:szCs w:val="24"/>
        </w:rPr>
      </w:pPr>
      <w:r>
        <w:rPr>
          <w:rFonts w:ascii="Arial" w:hAnsi="Arial" w:cs="Arial"/>
          <w:kern w:val="0"/>
          <w:sz w:val="24"/>
          <w:szCs w:val="24"/>
        </w:rPr>
        <w:t>3.1.2、3.6.13</w:t>
      </w:r>
    </w:p>
    <w:p>
      <w:pPr>
        <w:pStyle w:val="78"/>
        <w:numPr>
          <w:ilvl w:val="0"/>
          <w:numId w:val="5"/>
        </w:numPr>
        <w:spacing w:line="360" w:lineRule="auto"/>
        <w:ind w:firstLineChars="0"/>
        <w:rPr>
          <w:rFonts w:ascii="Arial" w:hAnsi="Arial" w:cs="Arial"/>
          <w:kern w:val="0"/>
          <w:sz w:val="24"/>
          <w:szCs w:val="24"/>
        </w:rPr>
      </w:pPr>
      <w:r>
        <w:rPr>
          <w:rFonts w:ascii="Arial" w:hAnsi="Arial" w:cs="Arial"/>
          <w:kern w:val="0"/>
          <w:sz w:val="24"/>
          <w:szCs w:val="24"/>
        </w:rPr>
        <w:t>《民用建筑外保温材料防火技术规程》DGJ08-2164-2015</w:t>
      </w:r>
    </w:p>
    <w:p>
      <w:pPr>
        <w:spacing w:line="360" w:lineRule="auto"/>
        <w:ind w:firstLine="480" w:firstLineChars="200"/>
        <w:rPr>
          <w:rFonts w:ascii="Arial" w:hAnsi="Arial" w:cs="Arial"/>
          <w:kern w:val="0"/>
          <w:sz w:val="24"/>
          <w:szCs w:val="24"/>
        </w:rPr>
      </w:pPr>
      <w:r>
        <w:rPr>
          <w:rFonts w:ascii="Arial" w:hAnsi="Arial" w:cs="Arial"/>
          <w:kern w:val="0"/>
          <w:sz w:val="24"/>
          <w:szCs w:val="24"/>
        </w:rPr>
        <w:t>4.0.2、5.0.1、5.0.2、5.0.10</w:t>
      </w:r>
    </w:p>
    <w:p>
      <w:pPr>
        <w:spacing w:line="360" w:lineRule="auto"/>
        <w:ind w:firstLine="480" w:firstLineChars="200"/>
        <w:rPr>
          <w:rFonts w:ascii="Arial" w:hAnsi="Arial" w:cs="Arial"/>
          <w:kern w:val="0"/>
          <w:sz w:val="24"/>
          <w:szCs w:val="24"/>
        </w:rPr>
      </w:pPr>
    </w:p>
    <w:p>
      <w:pPr>
        <w:pStyle w:val="78"/>
        <w:numPr>
          <w:ilvl w:val="0"/>
          <w:numId w:val="5"/>
        </w:numPr>
        <w:spacing w:line="360" w:lineRule="auto"/>
        <w:ind w:firstLineChars="0"/>
        <w:rPr>
          <w:rFonts w:ascii="Arial" w:hAnsi="Arial" w:cs="Arial"/>
          <w:kern w:val="0"/>
          <w:sz w:val="24"/>
          <w:szCs w:val="24"/>
        </w:rPr>
      </w:pPr>
      <w:r>
        <w:rPr>
          <w:rFonts w:hint="eastAsia" w:ascii="Arial" w:hAnsi="Arial" w:cs="Arial"/>
          <w:kern w:val="0"/>
          <w:sz w:val="24"/>
          <w:szCs w:val="24"/>
        </w:rPr>
        <w:t>《大型物流建筑消防设计标准》 DG/TJ08-2343-2020</w:t>
      </w:r>
    </w:p>
    <w:p>
      <w:pPr>
        <w:spacing w:line="360" w:lineRule="auto"/>
        <w:ind w:firstLine="480" w:firstLineChars="200"/>
        <w:rPr>
          <w:rFonts w:ascii="Arial" w:hAnsi="Arial" w:cs="Arial"/>
          <w:kern w:val="0"/>
          <w:sz w:val="24"/>
          <w:szCs w:val="24"/>
        </w:rPr>
      </w:pPr>
      <w:r>
        <w:rPr>
          <w:rFonts w:hint="eastAsia" w:ascii="Arial" w:hAnsi="Arial" w:cs="Arial"/>
          <w:sz w:val="24"/>
          <w:szCs w:val="24"/>
        </w:rPr>
        <w:t>4.0.2</w:t>
      </w:r>
    </w:p>
    <w:p>
      <w:pPr>
        <w:pStyle w:val="78"/>
        <w:numPr>
          <w:ilvl w:val="0"/>
          <w:numId w:val="5"/>
        </w:numPr>
        <w:spacing w:line="360" w:lineRule="auto"/>
        <w:ind w:firstLineChars="0"/>
        <w:rPr>
          <w:rFonts w:ascii="Arial" w:hAnsi="Arial" w:cs="Arial"/>
          <w:kern w:val="0"/>
          <w:sz w:val="24"/>
          <w:szCs w:val="24"/>
        </w:rPr>
      </w:pPr>
      <w:r>
        <w:rPr>
          <w:rFonts w:hint="eastAsia" w:ascii="Arial" w:hAnsi="Arial" w:cs="Arial"/>
          <w:kern w:val="0"/>
          <w:sz w:val="24"/>
          <w:szCs w:val="24"/>
        </w:rPr>
        <w:t>《公共建筑节能设计标准》DGJ08-107-2015</w:t>
      </w:r>
    </w:p>
    <w:p>
      <w:pPr>
        <w:spacing w:line="360" w:lineRule="auto"/>
        <w:ind w:firstLine="480" w:firstLineChars="200"/>
        <w:rPr>
          <w:rFonts w:ascii="Arial" w:hAnsi="Arial" w:cs="Arial"/>
          <w:sz w:val="24"/>
          <w:szCs w:val="24"/>
        </w:rPr>
      </w:pPr>
      <w:r>
        <w:rPr>
          <w:rFonts w:ascii="Arial" w:hAnsi="Arial" w:cs="Arial"/>
          <w:sz w:val="24"/>
          <w:szCs w:val="24"/>
        </w:rPr>
        <w:t>3.1.1</w:t>
      </w:r>
      <w:r>
        <w:rPr>
          <w:rFonts w:hint="eastAsia" w:ascii="Arial" w:hAnsi="Arial" w:cs="Arial"/>
          <w:sz w:val="24"/>
          <w:szCs w:val="24"/>
        </w:rPr>
        <w:t>、</w:t>
      </w:r>
      <w:r>
        <w:rPr>
          <w:rFonts w:ascii="Arial" w:hAnsi="Arial" w:cs="Arial"/>
          <w:sz w:val="24"/>
          <w:szCs w:val="24"/>
        </w:rPr>
        <w:t>3.2.3</w:t>
      </w:r>
      <w:r>
        <w:rPr>
          <w:rFonts w:hint="eastAsia" w:ascii="Arial" w:hAnsi="Arial" w:cs="Arial"/>
          <w:sz w:val="24"/>
          <w:szCs w:val="24"/>
        </w:rPr>
        <w:t>、</w:t>
      </w:r>
      <w:r>
        <w:rPr>
          <w:rFonts w:ascii="Arial" w:hAnsi="Arial" w:cs="Arial"/>
          <w:sz w:val="24"/>
          <w:szCs w:val="24"/>
        </w:rPr>
        <w:t>3.2.6</w:t>
      </w:r>
      <w:r>
        <w:rPr>
          <w:rFonts w:hint="eastAsia" w:ascii="Arial" w:hAnsi="Arial" w:cs="Arial"/>
          <w:sz w:val="24"/>
          <w:szCs w:val="24"/>
        </w:rPr>
        <w:t>、</w:t>
      </w:r>
      <w:r>
        <w:rPr>
          <w:rFonts w:ascii="Arial" w:hAnsi="Arial" w:cs="Arial"/>
          <w:sz w:val="24"/>
          <w:szCs w:val="24"/>
        </w:rPr>
        <w:t>3.2.7</w:t>
      </w:r>
      <w:r>
        <w:rPr>
          <w:rFonts w:hint="eastAsia" w:ascii="Arial" w:hAnsi="Arial" w:cs="Arial"/>
          <w:sz w:val="24"/>
          <w:szCs w:val="24"/>
        </w:rPr>
        <w:t>、</w:t>
      </w:r>
      <w:r>
        <w:rPr>
          <w:rFonts w:ascii="Arial" w:hAnsi="Arial" w:cs="Arial"/>
          <w:sz w:val="24"/>
          <w:szCs w:val="24"/>
        </w:rPr>
        <w:t>3.4.3</w:t>
      </w:r>
    </w:p>
    <w:p>
      <w:pPr>
        <w:pStyle w:val="78"/>
        <w:numPr>
          <w:ilvl w:val="0"/>
          <w:numId w:val="5"/>
        </w:numPr>
        <w:spacing w:line="360" w:lineRule="auto"/>
        <w:ind w:firstLineChars="0"/>
        <w:rPr>
          <w:rFonts w:ascii="Arial" w:hAnsi="Arial" w:cs="Arial"/>
          <w:kern w:val="0"/>
          <w:sz w:val="24"/>
          <w:szCs w:val="24"/>
        </w:rPr>
      </w:pPr>
      <w:r>
        <w:rPr>
          <w:rFonts w:hint="eastAsia" w:ascii="Arial" w:hAnsi="Arial" w:cs="Arial"/>
          <w:kern w:val="0"/>
          <w:sz w:val="24"/>
          <w:szCs w:val="24"/>
        </w:rPr>
        <w:t>《居住建筑节能设计标准》DGJ 08-205-2015</w:t>
      </w:r>
    </w:p>
    <w:p>
      <w:pPr>
        <w:spacing w:line="360" w:lineRule="auto"/>
        <w:ind w:firstLine="480" w:firstLineChars="200"/>
        <w:rPr>
          <w:rFonts w:ascii="Arial" w:hAnsi="Arial" w:cs="Arial"/>
          <w:sz w:val="24"/>
          <w:szCs w:val="24"/>
        </w:rPr>
      </w:pPr>
      <w:r>
        <w:rPr>
          <w:rFonts w:hint="eastAsia" w:ascii="Arial" w:hAnsi="Arial" w:cs="Arial"/>
          <w:sz w:val="24"/>
          <w:szCs w:val="24"/>
        </w:rPr>
        <w:t>2.0.11、4.0.14</w:t>
      </w:r>
    </w:p>
    <w:p>
      <w:pPr>
        <w:pStyle w:val="78"/>
        <w:numPr>
          <w:ilvl w:val="0"/>
          <w:numId w:val="5"/>
        </w:numPr>
        <w:spacing w:line="360" w:lineRule="auto"/>
        <w:ind w:firstLineChars="0"/>
        <w:rPr>
          <w:rFonts w:ascii="Arial" w:hAnsi="Arial" w:cs="Arial"/>
          <w:kern w:val="0"/>
          <w:sz w:val="24"/>
          <w:szCs w:val="24"/>
        </w:rPr>
      </w:pPr>
      <w:r>
        <w:rPr>
          <w:rFonts w:ascii="Arial" w:hAnsi="Arial" w:cs="Arial"/>
          <w:kern w:val="0"/>
          <w:sz w:val="24"/>
          <w:szCs w:val="24"/>
        </w:rPr>
        <w:t>《保障性租赁住房设计标准（保障性租赁住房</w:t>
      </w:r>
      <w:r>
        <w:rPr>
          <w:rFonts w:hint="eastAsia" w:ascii="Arial" w:hAnsi="Arial" w:cs="Arial"/>
          <w:kern w:val="0"/>
          <w:sz w:val="24"/>
          <w:szCs w:val="24"/>
        </w:rPr>
        <w:t>新</w:t>
      </w:r>
      <w:r>
        <w:rPr>
          <w:rFonts w:ascii="Arial" w:hAnsi="Arial" w:cs="Arial"/>
          <w:kern w:val="0"/>
          <w:sz w:val="24"/>
          <w:szCs w:val="24"/>
        </w:rPr>
        <w:t>建分册）》</w:t>
      </w:r>
    </w:p>
    <w:p>
      <w:pPr>
        <w:pStyle w:val="78"/>
        <w:spacing w:line="360" w:lineRule="auto"/>
        <w:ind w:left="420" w:firstLine="0" w:firstLineChars="0"/>
        <w:rPr>
          <w:rFonts w:ascii="Arial" w:hAnsi="Arial" w:cs="Arial"/>
          <w:kern w:val="0"/>
          <w:sz w:val="24"/>
          <w:szCs w:val="24"/>
        </w:rPr>
      </w:pPr>
      <w:r>
        <w:rPr>
          <w:rFonts w:ascii="Arial" w:hAnsi="Arial" w:cs="Arial"/>
          <w:kern w:val="0"/>
          <w:sz w:val="24"/>
          <w:szCs w:val="24"/>
        </w:rPr>
        <w:t>DG/TJ08-2291B-2022</w:t>
      </w:r>
    </w:p>
    <w:p>
      <w:pPr>
        <w:pStyle w:val="78"/>
        <w:spacing w:line="360" w:lineRule="auto"/>
        <w:ind w:firstLineChars="175"/>
        <w:rPr>
          <w:rFonts w:ascii="Arial" w:hAnsi="Arial" w:cs="Arial"/>
          <w:kern w:val="0"/>
          <w:sz w:val="24"/>
          <w:szCs w:val="24"/>
        </w:rPr>
      </w:pPr>
      <w:r>
        <w:rPr>
          <w:rFonts w:hint="eastAsia" w:ascii="Arial" w:hAnsi="Arial" w:cs="Arial"/>
          <w:kern w:val="0"/>
          <w:sz w:val="24"/>
          <w:szCs w:val="24"/>
        </w:rPr>
        <w:t>4.1.4、4.2.2.、4.2.9、4.3.6-6、4.3.9、9.0.3、9.0.4、9.0.5</w:t>
      </w:r>
    </w:p>
    <w:p>
      <w:pPr>
        <w:pStyle w:val="78"/>
        <w:numPr>
          <w:ilvl w:val="0"/>
          <w:numId w:val="5"/>
        </w:numPr>
        <w:spacing w:line="360" w:lineRule="auto"/>
        <w:ind w:firstLineChars="0"/>
        <w:rPr>
          <w:rFonts w:ascii="Arial" w:hAnsi="Arial" w:cs="Arial"/>
          <w:kern w:val="0"/>
          <w:sz w:val="24"/>
          <w:szCs w:val="24"/>
        </w:rPr>
      </w:pPr>
      <w:r>
        <w:rPr>
          <w:rFonts w:ascii="Arial" w:hAnsi="Arial" w:cs="Arial"/>
          <w:kern w:val="0"/>
          <w:sz w:val="24"/>
          <w:szCs w:val="24"/>
        </w:rPr>
        <w:t>《保障性租赁住房设计标准（保障性租赁住房改建分册）》</w:t>
      </w:r>
    </w:p>
    <w:p>
      <w:pPr>
        <w:pStyle w:val="78"/>
        <w:spacing w:line="360" w:lineRule="auto"/>
        <w:ind w:left="420" w:firstLine="0" w:firstLineChars="0"/>
        <w:rPr>
          <w:rFonts w:ascii="Arial" w:hAnsi="Arial" w:cs="Arial"/>
          <w:kern w:val="0"/>
          <w:sz w:val="24"/>
          <w:szCs w:val="24"/>
        </w:rPr>
      </w:pPr>
      <w:r>
        <w:rPr>
          <w:rFonts w:ascii="Arial" w:hAnsi="Arial" w:cs="Arial"/>
          <w:kern w:val="0"/>
          <w:sz w:val="24"/>
          <w:szCs w:val="24"/>
        </w:rPr>
        <w:t>DG/TJ08-2291</w:t>
      </w:r>
      <w:r>
        <w:rPr>
          <w:rFonts w:hint="eastAsia" w:ascii="Arial" w:hAnsi="Arial" w:cs="Arial"/>
          <w:kern w:val="0"/>
          <w:sz w:val="24"/>
          <w:szCs w:val="24"/>
        </w:rPr>
        <w:t>C</w:t>
      </w:r>
      <w:r>
        <w:rPr>
          <w:rFonts w:ascii="Arial" w:hAnsi="Arial" w:cs="Arial"/>
          <w:kern w:val="0"/>
          <w:sz w:val="24"/>
          <w:szCs w:val="24"/>
        </w:rPr>
        <w:t>-2022</w:t>
      </w:r>
    </w:p>
    <w:p>
      <w:pPr>
        <w:spacing w:line="360" w:lineRule="auto"/>
        <w:ind w:firstLine="480" w:firstLineChars="200"/>
        <w:rPr>
          <w:rFonts w:ascii="Arial" w:hAnsi="Arial" w:cs="Arial"/>
          <w:sz w:val="24"/>
          <w:szCs w:val="24"/>
        </w:rPr>
      </w:pPr>
      <w:r>
        <w:rPr>
          <w:rFonts w:hint="eastAsia" w:ascii="Arial" w:hAnsi="Arial" w:cs="Arial"/>
          <w:sz w:val="24"/>
          <w:szCs w:val="24"/>
        </w:rPr>
        <w:t>4.1.3、4.2.4、6.1.1、9.2.1、9.2.2-2、9.2.5-1~2、9.3.3-3、9.3.4-1~2</w:t>
      </w:r>
    </w:p>
    <w:bookmarkEnd w:id="0"/>
    <w:p>
      <w:pPr>
        <w:pStyle w:val="2"/>
        <w:pageBreakBefore w:val="0"/>
        <w:widowControl w:val="0"/>
        <w:numPr>
          <w:ilvl w:val="0"/>
          <w:numId w:val="0"/>
        </w:numPr>
        <w:kinsoku/>
        <w:wordWrap/>
        <w:overflowPunct/>
        <w:topLinePunct w:val="0"/>
        <w:autoSpaceDE/>
        <w:autoSpaceDN/>
        <w:bidi w:val="0"/>
        <w:adjustRightInd/>
        <w:snapToGrid/>
        <w:spacing w:before="157" w:beforeLines="50" w:afterLines="0" w:line="240" w:lineRule="auto"/>
        <w:ind w:leftChars="0"/>
        <w:jc w:val="center"/>
        <w:textAlignment w:val="auto"/>
        <w:rPr>
          <w:rFonts w:hint="eastAsia"/>
          <w:lang w:eastAsia="zh-CN"/>
        </w:rPr>
      </w:pPr>
      <w:bookmarkStart w:id="10" w:name="_Toc118119906"/>
      <w:bookmarkStart w:id="11" w:name="_Toc500329029"/>
      <w:bookmarkStart w:id="12" w:name="_Toc488139924"/>
    </w:p>
    <w:p>
      <w:pPr>
        <w:pStyle w:val="2"/>
        <w:pageBreakBefore w:val="0"/>
        <w:widowControl w:val="0"/>
        <w:numPr>
          <w:ilvl w:val="0"/>
          <w:numId w:val="0"/>
        </w:numPr>
        <w:kinsoku/>
        <w:wordWrap/>
        <w:overflowPunct/>
        <w:topLinePunct w:val="0"/>
        <w:autoSpaceDE/>
        <w:autoSpaceDN/>
        <w:bidi w:val="0"/>
        <w:adjustRightInd/>
        <w:snapToGrid/>
        <w:spacing w:before="157" w:beforeLines="50" w:afterLines="0" w:line="240" w:lineRule="auto"/>
        <w:ind w:leftChars="0"/>
        <w:jc w:val="center"/>
        <w:textAlignment w:val="auto"/>
        <w:rPr>
          <w:rFonts w:cs="Arial"/>
          <w:sz w:val="24"/>
          <w:szCs w:val="24"/>
        </w:rPr>
      </w:pPr>
      <w:r>
        <w:rPr>
          <w:rFonts w:hint="eastAsia"/>
          <w:lang w:eastAsia="zh-CN"/>
        </w:rPr>
        <w:t>二、</w:t>
      </w:r>
      <w:r>
        <w:t>结构专业</w:t>
      </w:r>
      <w:bookmarkEnd w:id="10"/>
      <w:bookmarkEnd w:id="11"/>
      <w:bookmarkEnd w:id="12"/>
      <w:bookmarkStart w:id="13" w:name="_Toc404346566"/>
      <w:bookmarkEnd w:id="13"/>
      <w:bookmarkStart w:id="14" w:name="_Toc401217734"/>
      <w:bookmarkEnd w:id="14"/>
      <w:bookmarkStart w:id="15" w:name="_Toc404346534"/>
      <w:bookmarkEnd w:id="15"/>
      <w:bookmarkStart w:id="16" w:name="_Toc401219522"/>
      <w:bookmarkEnd w:id="16"/>
      <w:bookmarkStart w:id="17" w:name="_Toc403560680"/>
      <w:bookmarkEnd w:id="17"/>
      <w:bookmarkStart w:id="18" w:name="_Toc398640100"/>
      <w:bookmarkEnd w:id="18"/>
      <w:bookmarkStart w:id="19" w:name="_Toc405369261"/>
      <w:bookmarkEnd w:id="19"/>
      <w:bookmarkStart w:id="20" w:name="_Toc401222094"/>
      <w:bookmarkEnd w:id="20"/>
      <w:bookmarkStart w:id="21" w:name="_Toc401218265"/>
      <w:bookmarkEnd w:id="21"/>
      <w:bookmarkStart w:id="22" w:name="_Toc405369262"/>
    </w:p>
    <w:p>
      <w:pPr>
        <w:pStyle w:val="3"/>
        <w:pageBreakBefore w:val="0"/>
        <w:widowControl w:val="0"/>
        <w:numPr>
          <w:ilvl w:val="0"/>
          <w:numId w:val="0"/>
        </w:numPr>
        <w:kinsoku/>
        <w:wordWrap/>
        <w:overflowPunct/>
        <w:topLinePunct w:val="0"/>
        <w:autoSpaceDE/>
        <w:autoSpaceDN/>
        <w:bidi w:val="0"/>
        <w:adjustRightInd/>
        <w:snapToGrid/>
        <w:spacing w:before="157" w:beforeLines="50" w:after="0" w:line="240" w:lineRule="auto"/>
        <w:ind w:left="3261"/>
        <w:jc w:val="both"/>
        <w:textAlignment w:val="auto"/>
      </w:pPr>
      <w:bookmarkStart w:id="23" w:name="_Toc488139913"/>
      <w:bookmarkEnd w:id="23"/>
      <w:bookmarkStart w:id="24" w:name="_Toc488139925"/>
      <w:bookmarkEnd w:id="24"/>
      <w:bookmarkStart w:id="25" w:name="_Toc118119907"/>
      <w:bookmarkStart w:id="26" w:name="_Toc500329030"/>
      <w:bookmarkStart w:id="27" w:name="_Toc488139927"/>
      <w:r>
        <w:t>2.1 地基基础</w:t>
      </w:r>
      <w:bookmarkEnd w:id="22"/>
      <w:bookmarkEnd w:id="25"/>
      <w:bookmarkEnd w:id="26"/>
      <w:bookmarkEnd w:id="27"/>
    </w:p>
    <w:p>
      <w:pPr>
        <w:pageBreakBefore w:val="0"/>
        <w:widowControl w:val="0"/>
        <w:kinsoku/>
        <w:wordWrap/>
        <w:overflowPunct/>
        <w:topLinePunct w:val="0"/>
        <w:autoSpaceDE/>
        <w:autoSpaceDN/>
        <w:bidi w:val="0"/>
        <w:adjustRightInd/>
        <w:snapToGrid/>
        <w:spacing w:before="157" w:beforeLines="50" w:line="240" w:lineRule="auto"/>
        <w:textAlignment w:val="auto"/>
        <w:rPr>
          <w:rFonts w:ascii="Arial" w:hAnsi="Arial" w:eastAsia="黑体" w:cs="Arial"/>
          <w:sz w:val="24"/>
          <w:szCs w:val="24"/>
        </w:rPr>
      </w:pPr>
      <w:r>
        <w:rPr>
          <w:rFonts w:ascii="Arial" w:hAnsi="Arial" w:eastAsia="黑体" w:cs="Arial"/>
          <w:sz w:val="24"/>
          <w:szCs w:val="24"/>
        </w:rPr>
        <w:t>《地基基础设计标准》DGJ08-11-2018</w:t>
      </w:r>
    </w:p>
    <w:p>
      <w:pPr>
        <w:spacing w:line="360" w:lineRule="auto"/>
        <w:rPr>
          <w:rFonts w:ascii="Arial" w:hAnsi="Arial" w:cs="Arial"/>
          <w:sz w:val="24"/>
          <w:szCs w:val="24"/>
        </w:rPr>
      </w:pPr>
      <w:r>
        <w:rPr>
          <w:rFonts w:ascii="Arial" w:hAnsi="Arial" w:cs="Arial"/>
          <w:sz w:val="24"/>
          <w:szCs w:val="24"/>
        </w:rPr>
        <w:t>3.0.4 地基基础的设计计算应符合下列要求：</w:t>
      </w:r>
    </w:p>
    <w:p>
      <w:pPr>
        <w:spacing w:line="360" w:lineRule="auto"/>
        <w:ind w:firstLine="480" w:firstLineChars="200"/>
        <w:rPr>
          <w:rFonts w:ascii="Arial" w:hAnsi="Arial" w:cs="Arial"/>
          <w:kern w:val="0"/>
          <w:sz w:val="24"/>
          <w:szCs w:val="24"/>
        </w:rPr>
      </w:pPr>
      <w:r>
        <w:rPr>
          <w:rFonts w:ascii="Arial" w:hAnsi="Arial" w:cs="Arial"/>
          <w:kern w:val="0"/>
          <w:sz w:val="24"/>
          <w:szCs w:val="24"/>
        </w:rPr>
        <w:t>1 验算地基（或单桩）承载力以及抗倾、抗滑、抗浮或基坑、边坡稳定时，作用效应应采用承载</w:t>
      </w:r>
      <w:r>
        <w:rPr>
          <w:rFonts w:hint="eastAsia" w:ascii="Arial" w:hAnsi="Arial" w:cs="Arial"/>
          <w:kern w:val="0"/>
          <w:sz w:val="24"/>
          <w:szCs w:val="24"/>
        </w:rPr>
        <w:t>能</w:t>
      </w:r>
      <w:r>
        <w:rPr>
          <w:rFonts w:ascii="Arial" w:hAnsi="Arial" w:cs="Arial"/>
          <w:kern w:val="0"/>
          <w:sz w:val="24"/>
          <w:szCs w:val="24"/>
        </w:rPr>
        <w:t>力极限状态下的基本组合，但其分项系数除有专门规定外均取1.0；计算地基变形时，作用效应应采用正常使用极限状态下的准永久组合。</w:t>
      </w:r>
    </w:p>
    <w:p>
      <w:pPr>
        <w:spacing w:line="360" w:lineRule="auto"/>
        <w:ind w:firstLine="480" w:firstLineChars="200"/>
        <w:rPr>
          <w:rFonts w:ascii="Arial" w:hAnsi="Arial" w:cs="Arial"/>
          <w:kern w:val="0"/>
          <w:sz w:val="24"/>
          <w:szCs w:val="24"/>
        </w:rPr>
      </w:pPr>
      <w:r>
        <w:rPr>
          <w:rFonts w:ascii="Arial" w:hAnsi="Arial" w:cs="Arial"/>
          <w:kern w:val="0"/>
          <w:sz w:val="24"/>
          <w:szCs w:val="24"/>
        </w:rPr>
        <w:t>2 计算基础结构的截面、内力和配筋时，作用效应应采用承载</w:t>
      </w:r>
      <w:r>
        <w:rPr>
          <w:rFonts w:hint="eastAsia" w:ascii="Arial" w:hAnsi="Arial" w:cs="Arial"/>
          <w:kern w:val="0"/>
          <w:sz w:val="24"/>
          <w:szCs w:val="24"/>
        </w:rPr>
        <w:t>能</w:t>
      </w:r>
      <w:r>
        <w:rPr>
          <w:rFonts w:ascii="Arial" w:hAnsi="Arial" w:cs="Arial"/>
          <w:kern w:val="0"/>
          <w:sz w:val="24"/>
          <w:szCs w:val="24"/>
        </w:rPr>
        <w:t>力极限状态下的基本组合，并采用相应的分项系数；进行基础结构的裂缝宽度验算时，作用效应应采用正常使用极限状态下的标准组合。</w:t>
      </w:r>
    </w:p>
    <w:p>
      <w:pPr>
        <w:spacing w:line="360" w:lineRule="auto"/>
        <w:ind w:firstLine="480" w:firstLineChars="200"/>
        <w:rPr>
          <w:rFonts w:ascii="Arial" w:hAnsi="Arial" w:cs="Arial"/>
          <w:kern w:val="0"/>
          <w:sz w:val="24"/>
          <w:szCs w:val="24"/>
        </w:rPr>
      </w:pPr>
      <w:r>
        <w:rPr>
          <w:rFonts w:ascii="Arial" w:hAnsi="Arial" w:cs="Arial"/>
          <w:kern w:val="0"/>
          <w:sz w:val="24"/>
          <w:szCs w:val="24"/>
        </w:rPr>
        <w:t>3 应对地下工程支护结构施工阶段和使用阶段均进行承载能力</w:t>
      </w:r>
      <w:r>
        <w:rPr>
          <w:rFonts w:hint="eastAsia" w:ascii="Arial" w:hAnsi="Arial" w:cs="Arial"/>
          <w:kern w:val="0"/>
          <w:sz w:val="24"/>
          <w:szCs w:val="24"/>
        </w:rPr>
        <w:t>极限状态</w:t>
      </w:r>
      <w:r>
        <w:rPr>
          <w:rFonts w:ascii="Arial" w:hAnsi="Arial" w:cs="Arial"/>
          <w:kern w:val="0"/>
          <w:sz w:val="24"/>
          <w:szCs w:val="24"/>
        </w:rPr>
        <w:t>和正常使用极限状态验算。</w:t>
      </w:r>
    </w:p>
    <w:p>
      <w:pPr>
        <w:spacing w:line="360" w:lineRule="auto"/>
        <w:rPr>
          <w:rFonts w:ascii="Arial" w:hAnsi="Arial" w:cs="Arial"/>
          <w:sz w:val="24"/>
          <w:szCs w:val="24"/>
        </w:rPr>
      </w:pPr>
      <w:r>
        <w:rPr>
          <w:rFonts w:ascii="Arial" w:hAnsi="Arial" w:cs="Arial"/>
          <w:sz w:val="24"/>
          <w:szCs w:val="24"/>
        </w:rPr>
        <w:t>3.0.5 地基基础设计时，基础的安全等级宜与主体结构安全等级相同，并符合现行国家标准《工程结构可靠性设计统一标准》GB50153的有关规定；地基安全等级除有关章节中已有明确规定者外，宜取二级。地基基础的结构重要性系数</w:t>
      </w:r>
    </w:p>
    <w:p>
      <w:pPr>
        <w:spacing w:line="360" w:lineRule="auto"/>
        <w:rPr>
          <w:rFonts w:ascii="Arial" w:hAnsi="Arial" w:cs="Arial"/>
          <w:sz w:val="24"/>
          <w:szCs w:val="24"/>
        </w:rPr>
      </w:pPr>
      <w:r>
        <w:rPr>
          <w:rFonts w:ascii="宋体" w:hAnsi="宋体" w:cs="Arial"/>
          <w:i/>
          <w:sz w:val="24"/>
          <w:szCs w:val="24"/>
        </w:rPr>
        <w:t>γ</w:t>
      </w:r>
      <w:r>
        <w:rPr>
          <w:rFonts w:ascii="Arial" w:hAnsi="Arial" w:cs="Arial"/>
          <w:sz w:val="24"/>
          <w:szCs w:val="24"/>
          <w:vertAlign w:val="subscript"/>
        </w:rPr>
        <w:t>0</w:t>
      </w:r>
      <w:r>
        <w:rPr>
          <w:rFonts w:ascii="Arial" w:hAnsi="Arial" w:cs="Arial"/>
          <w:sz w:val="24"/>
          <w:szCs w:val="24"/>
        </w:rPr>
        <w:t>应符合表3.0.5规定。</w:t>
      </w:r>
    </w:p>
    <w:p>
      <w:pPr>
        <w:autoSpaceDE w:val="0"/>
        <w:autoSpaceDN w:val="0"/>
        <w:adjustRightInd w:val="0"/>
        <w:spacing w:line="360" w:lineRule="auto"/>
        <w:jc w:val="center"/>
        <w:rPr>
          <w:rFonts w:ascii="Arial" w:hAnsi="Arial" w:eastAsia="黑体" w:cs="Arial"/>
          <w:kern w:val="0"/>
          <w:sz w:val="24"/>
          <w:szCs w:val="24"/>
        </w:rPr>
      </w:pPr>
      <w:r>
        <w:rPr>
          <w:rFonts w:ascii="Arial" w:hAnsi="Arial" w:eastAsia="黑体" w:cs="Arial"/>
          <w:kern w:val="0"/>
          <w:sz w:val="24"/>
          <w:szCs w:val="24"/>
        </w:rPr>
        <w:t>表3.0.5 地基基础结构重要性系数</w:t>
      </w:r>
      <w:r>
        <w:rPr>
          <w:rFonts w:ascii="宋体" w:hAnsi="宋体" w:cs="Arial"/>
          <w:i/>
          <w:kern w:val="0"/>
          <w:sz w:val="24"/>
          <w:szCs w:val="24"/>
        </w:rPr>
        <w:t>γ</w:t>
      </w:r>
      <w:r>
        <w:rPr>
          <w:rFonts w:ascii="Arial" w:hAnsi="Arial" w:eastAsia="黑体" w:cs="Arial"/>
          <w:kern w:val="0"/>
          <w:sz w:val="24"/>
          <w:szCs w:val="24"/>
          <w:vertAlign w:val="subscript"/>
        </w:rPr>
        <w:t>0</w:t>
      </w:r>
    </w:p>
    <w:tbl>
      <w:tblPr>
        <w:tblStyle w:val="23"/>
        <w:tblW w:w="694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011"/>
        <w:gridCol w:w="1984"/>
        <w:gridCol w:w="2951"/>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2011" w:type="dxa"/>
            <w:vAlign w:val="center"/>
          </w:tcPr>
          <w:p>
            <w:pPr>
              <w:spacing w:line="360" w:lineRule="auto"/>
              <w:ind w:left="420" w:leftChars="200" w:right="420" w:rightChars="200"/>
              <w:jc w:val="center"/>
              <w:rPr>
                <w:rFonts w:ascii="Arial" w:hAnsi="Arial" w:cs="Arial"/>
                <w:szCs w:val="21"/>
              </w:rPr>
            </w:pPr>
            <w:r>
              <w:rPr>
                <w:rFonts w:ascii="Arial" w:hAnsi="Arial" w:cs="Arial"/>
                <w:szCs w:val="21"/>
              </w:rPr>
              <w:t>安全等级</w:t>
            </w:r>
          </w:p>
        </w:tc>
        <w:tc>
          <w:tcPr>
            <w:tcW w:w="1984" w:type="dxa"/>
            <w:vAlign w:val="center"/>
          </w:tcPr>
          <w:p>
            <w:pPr>
              <w:spacing w:line="360" w:lineRule="auto"/>
              <w:ind w:left="420" w:leftChars="200" w:right="420" w:rightChars="200"/>
              <w:jc w:val="center"/>
              <w:rPr>
                <w:rFonts w:ascii="Arial" w:hAnsi="Arial" w:cs="Arial"/>
                <w:szCs w:val="21"/>
              </w:rPr>
            </w:pPr>
            <w:r>
              <w:rPr>
                <w:rFonts w:ascii="Arial" w:hAnsi="Arial" w:cs="Arial"/>
                <w:szCs w:val="21"/>
              </w:rPr>
              <w:t>破坏后果</w:t>
            </w:r>
          </w:p>
        </w:tc>
        <w:tc>
          <w:tcPr>
            <w:tcW w:w="2951" w:type="dxa"/>
            <w:vAlign w:val="center"/>
          </w:tcPr>
          <w:p>
            <w:pPr>
              <w:spacing w:line="360" w:lineRule="auto"/>
              <w:ind w:left="420" w:leftChars="200" w:right="420" w:rightChars="200"/>
              <w:jc w:val="center"/>
              <w:rPr>
                <w:rFonts w:ascii="Arial" w:hAnsi="Arial" w:cs="Arial"/>
                <w:szCs w:val="21"/>
              </w:rPr>
            </w:pPr>
            <w:r>
              <w:rPr>
                <w:rFonts w:ascii="Arial" w:hAnsi="Arial" w:cs="Arial"/>
                <w:szCs w:val="21"/>
              </w:rPr>
              <w:t>结构重要性系数</w:t>
            </w:r>
            <w:r>
              <w:rPr>
                <w:rFonts w:ascii="宋体" w:hAnsi="宋体" w:cs="Arial"/>
                <w:i/>
                <w:szCs w:val="21"/>
              </w:rPr>
              <w:t>γ</w:t>
            </w:r>
            <w:r>
              <w:rPr>
                <w:rFonts w:ascii="Arial" w:hAnsi="Arial" w:cs="Arial"/>
                <w:szCs w:val="21"/>
                <w:vertAlign w:val="subscript"/>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2011" w:type="dxa"/>
            <w:vAlign w:val="center"/>
          </w:tcPr>
          <w:p>
            <w:pPr>
              <w:spacing w:line="360" w:lineRule="auto"/>
              <w:ind w:left="420" w:leftChars="200" w:right="420" w:rightChars="200"/>
              <w:jc w:val="center"/>
              <w:rPr>
                <w:rFonts w:ascii="Arial" w:hAnsi="Arial" w:cs="Arial"/>
                <w:szCs w:val="21"/>
              </w:rPr>
            </w:pPr>
            <w:r>
              <w:rPr>
                <w:rFonts w:ascii="Arial" w:hAnsi="Arial" w:cs="Arial"/>
                <w:szCs w:val="21"/>
              </w:rPr>
              <w:t>一级</w:t>
            </w:r>
          </w:p>
        </w:tc>
        <w:tc>
          <w:tcPr>
            <w:tcW w:w="1984" w:type="dxa"/>
            <w:vAlign w:val="center"/>
          </w:tcPr>
          <w:p>
            <w:pPr>
              <w:spacing w:line="360" w:lineRule="auto"/>
              <w:ind w:left="420" w:leftChars="200" w:right="420" w:rightChars="200"/>
              <w:jc w:val="center"/>
              <w:rPr>
                <w:rFonts w:ascii="Arial" w:hAnsi="Arial" w:cs="Arial"/>
                <w:szCs w:val="21"/>
              </w:rPr>
            </w:pPr>
            <w:r>
              <w:rPr>
                <w:rFonts w:ascii="Arial" w:hAnsi="Arial" w:cs="Arial"/>
                <w:szCs w:val="21"/>
              </w:rPr>
              <w:t>很严重</w:t>
            </w:r>
          </w:p>
        </w:tc>
        <w:tc>
          <w:tcPr>
            <w:tcW w:w="2951" w:type="dxa"/>
            <w:vAlign w:val="center"/>
          </w:tcPr>
          <w:p>
            <w:pPr>
              <w:spacing w:line="360" w:lineRule="auto"/>
              <w:ind w:left="420" w:leftChars="200" w:right="420" w:rightChars="200"/>
              <w:jc w:val="center"/>
              <w:rPr>
                <w:rFonts w:ascii="Arial" w:hAnsi="Arial" w:cs="Arial"/>
                <w:szCs w:val="21"/>
              </w:rPr>
            </w:pPr>
            <w:r>
              <w:rPr>
                <w:rFonts w:ascii="Arial" w:hAnsi="Arial" w:cs="Arial"/>
                <w:szCs w:val="21"/>
              </w:rPr>
              <w:t>1.1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2011" w:type="dxa"/>
            <w:vAlign w:val="center"/>
          </w:tcPr>
          <w:p>
            <w:pPr>
              <w:spacing w:line="360" w:lineRule="auto"/>
              <w:ind w:left="420" w:leftChars="200" w:right="420" w:rightChars="200"/>
              <w:jc w:val="center"/>
              <w:rPr>
                <w:rFonts w:ascii="Arial" w:hAnsi="Arial" w:cs="Arial"/>
                <w:szCs w:val="21"/>
              </w:rPr>
            </w:pPr>
            <w:r>
              <w:rPr>
                <w:rFonts w:ascii="Arial" w:hAnsi="Arial" w:cs="Arial"/>
                <w:szCs w:val="21"/>
              </w:rPr>
              <w:t>二级</w:t>
            </w:r>
          </w:p>
        </w:tc>
        <w:tc>
          <w:tcPr>
            <w:tcW w:w="1984" w:type="dxa"/>
            <w:vAlign w:val="center"/>
          </w:tcPr>
          <w:p>
            <w:pPr>
              <w:spacing w:line="360" w:lineRule="auto"/>
              <w:ind w:left="420" w:leftChars="200" w:right="420" w:rightChars="200"/>
              <w:jc w:val="center"/>
              <w:rPr>
                <w:rFonts w:ascii="Arial" w:hAnsi="Arial" w:cs="Arial"/>
                <w:szCs w:val="21"/>
              </w:rPr>
            </w:pPr>
            <w:r>
              <w:rPr>
                <w:rFonts w:ascii="Arial" w:hAnsi="Arial" w:cs="Arial"/>
                <w:szCs w:val="21"/>
              </w:rPr>
              <w:t>严重</w:t>
            </w:r>
          </w:p>
        </w:tc>
        <w:tc>
          <w:tcPr>
            <w:tcW w:w="2951" w:type="dxa"/>
            <w:vAlign w:val="center"/>
          </w:tcPr>
          <w:p>
            <w:pPr>
              <w:spacing w:line="360" w:lineRule="auto"/>
              <w:ind w:left="420" w:leftChars="200" w:right="420" w:rightChars="200"/>
              <w:jc w:val="center"/>
              <w:rPr>
                <w:rFonts w:ascii="Arial" w:hAnsi="Arial" w:cs="Arial"/>
                <w:szCs w:val="21"/>
              </w:rPr>
            </w:pPr>
            <w:r>
              <w:rPr>
                <w:rFonts w:ascii="Arial" w:hAnsi="Arial" w:cs="Arial"/>
                <w:szCs w:val="21"/>
              </w:rPr>
              <w:t>1.0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jc w:val="center"/>
        </w:trPr>
        <w:tc>
          <w:tcPr>
            <w:tcW w:w="2011" w:type="dxa"/>
            <w:vAlign w:val="center"/>
          </w:tcPr>
          <w:p>
            <w:pPr>
              <w:spacing w:line="360" w:lineRule="auto"/>
              <w:ind w:left="420" w:leftChars="200" w:right="420" w:rightChars="200"/>
              <w:jc w:val="center"/>
              <w:rPr>
                <w:rFonts w:ascii="Arial" w:hAnsi="Arial" w:cs="Arial"/>
                <w:szCs w:val="21"/>
              </w:rPr>
            </w:pPr>
            <w:r>
              <w:rPr>
                <w:rFonts w:ascii="Arial" w:hAnsi="Arial" w:cs="Arial"/>
                <w:szCs w:val="21"/>
              </w:rPr>
              <w:t>三级</w:t>
            </w:r>
          </w:p>
        </w:tc>
        <w:tc>
          <w:tcPr>
            <w:tcW w:w="1984" w:type="dxa"/>
            <w:vAlign w:val="center"/>
          </w:tcPr>
          <w:p>
            <w:pPr>
              <w:spacing w:line="360" w:lineRule="auto"/>
              <w:ind w:left="420" w:leftChars="200" w:right="420" w:rightChars="200"/>
              <w:jc w:val="center"/>
              <w:rPr>
                <w:rFonts w:ascii="Arial" w:hAnsi="Arial" w:cs="Arial"/>
                <w:szCs w:val="21"/>
              </w:rPr>
            </w:pPr>
            <w:r>
              <w:rPr>
                <w:rFonts w:ascii="Arial" w:hAnsi="Arial" w:cs="Arial"/>
                <w:szCs w:val="21"/>
              </w:rPr>
              <w:t>不严重</w:t>
            </w:r>
          </w:p>
        </w:tc>
        <w:tc>
          <w:tcPr>
            <w:tcW w:w="2951" w:type="dxa"/>
            <w:vAlign w:val="center"/>
          </w:tcPr>
          <w:p>
            <w:pPr>
              <w:spacing w:line="360" w:lineRule="auto"/>
              <w:ind w:left="420" w:leftChars="200" w:right="420" w:rightChars="200"/>
              <w:jc w:val="center"/>
              <w:rPr>
                <w:rFonts w:ascii="Arial" w:hAnsi="Arial" w:cs="Arial"/>
                <w:szCs w:val="21"/>
              </w:rPr>
            </w:pPr>
            <w:r>
              <w:rPr>
                <w:rFonts w:ascii="Arial" w:hAnsi="Arial" w:cs="Arial"/>
                <w:szCs w:val="21"/>
              </w:rPr>
              <w:t>1.0</w:t>
            </w:r>
          </w:p>
        </w:tc>
      </w:tr>
    </w:tbl>
    <w:p>
      <w:pPr>
        <w:spacing w:line="360" w:lineRule="auto"/>
        <w:rPr>
          <w:rFonts w:ascii="Arial" w:hAnsi="Arial" w:cs="Arial"/>
          <w:sz w:val="24"/>
          <w:szCs w:val="24"/>
        </w:rPr>
      </w:pPr>
    </w:p>
    <w:p>
      <w:pPr>
        <w:spacing w:line="360" w:lineRule="auto"/>
        <w:rPr>
          <w:rFonts w:ascii="Arial" w:hAnsi="Arial" w:cs="Arial"/>
          <w:sz w:val="24"/>
          <w:szCs w:val="24"/>
        </w:rPr>
      </w:pPr>
      <w:r>
        <w:rPr>
          <w:rFonts w:ascii="Arial" w:hAnsi="Arial" w:cs="Arial"/>
          <w:sz w:val="24"/>
          <w:szCs w:val="24"/>
        </w:rPr>
        <w:t>5.2.1 确定基础底面积时应符合下列要求：</w:t>
      </w:r>
    </w:p>
    <w:p>
      <w:pPr>
        <w:spacing w:line="360" w:lineRule="auto"/>
        <w:ind w:firstLine="480" w:firstLineChars="200"/>
        <w:rPr>
          <w:rFonts w:ascii="Arial" w:hAnsi="Arial" w:cs="Arial"/>
          <w:kern w:val="0"/>
          <w:sz w:val="24"/>
          <w:szCs w:val="24"/>
        </w:rPr>
      </w:pPr>
      <w:r>
        <w:rPr>
          <w:rFonts w:ascii="Arial" w:hAnsi="Arial" w:cs="Arial"/>
          <w:kern w:val="0"/>
          <w:sz w:val="24"/>
          <w:szCs w:val="24"/>
        </w:rPr>
        <w:t>1 当轴心荷载作用时</w:t>
      </w:r>
      <w:r>
        <w:rPr>
          <w:rFonts w:hint="eastAsia" w:ascii="Arial" w:hAnsi="Arial" w:cs="Arial"/>
          <w:kern w:val="0"/>
          <w:sz w:val="24"/>
          <w:szCs w:val="24"/>
        </w:rPr>
        <w:t>：</w:t>
      </w:r>
    </w:p>
    <w:p>
      <w:pPr>
        <w:tabs>
          <w:tab w:val="left" w:pos="8222"/>
        </w:tabs>
        <w:spacing w:before="156" w:beforeLines="50" w:after="156" w:afterLines="50"/>
        <w:ind w:right="88" w:rightChars="42"/>
        <w:jc w:val="center"/>
        <w:rPr>
          <w:rFonts w:ascii="Arial" w:hAnsi="Arial" w:cs="Arial"/>
          <w:szCs w:val="21"/>
        </w:rPr>
      </w:pPr>
      <w:r>
        <w:rPr>
          <w:rFonts w:ascii="Arial" w:hAnsi="Arial" w:cs="Arial"/>
          <w:szCs w:val="21"/>
        </w:rPr>
        <w:drawing>
          <wp:inline distT="0" distB="0" distL="0" distR="0">
            <wp:extent cx="2580640" cy="284480"/>
            <wp:effectExtent l="19050" t="0" r="0" b="0"/>
            <wp:docPr id="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true" noChangeArrowheads="true"/>
                    </pic:cNvPicPr>
                  </pic:nvPicPr>
                  <pic:blipFill>
                    <a:blip r:embed="rId12"/>
                    <a:srcRect l="35187"/>
                    <a:stretch>
                      <a:fillRect/>
                    </a:stretch>
                  </pic:blipFill>
                  <pic:spPr>
                    <a:xfrm>
                      <a:off x="0" y="0"/>
                      <a:ext cx="2580640" cy="284480"/>
                    </a:xfrm>
                    <a:prstGeom prst="rect">
                      <a:avLst/>
                    </a:prstGeom>
                    <a:noFill/>
                    <a:ln w="9525">
                      <a:noFill/>
                      <a:miter lim="800000"/>
                      <a:headEnd/>
                      <a:tailEnd/>
                    </a:ln>
                  </pic:spPr>
                </pic:pic>
              </a:graphicData>
            </a:graphic>
          </wp:inline>
        </w:drawing>
      </w:r>
    </w:p>
    <w:p>
      <w:pPr>
        <w:spacing w:line="360" w:lineRule="auto"/>
        <w:ind w:firstLine="480" w:firstLineChars="200"/>
        <w:rPr>
          <w:rFonts w:ascii="Arial" w:hAnsi="Arial" w:cs="Arial"/>
          <w:kern w:val="0"/>
          <w:sz w:val="24"/>
          <w:szCs w:val="24"/>
        </w:rPr>
      </w:pPr>
      <w:r>
        <w:rPr>
          <w:rFonts w:ascii="Arial" w:hAnsi="Arial" w:cs="Arial"/>
          <w:kern w:val="0"/>
          <w:sz w:val="24"/>
          <w:szCs w:val="24"/>
        </w:rPr>
        <w:t>式中：p</w:t>
      </w:r>
      <w:r>
        <w:rPr>
          <w:rFonts w:ascii="Arial" w:hAnsi="Arial" w:cs="Arial"/>
          <w:kern w:val="0"/>
          <w:sz w:val="24"/>
          <w:szCs w:val="24"/>
          <w:vertAlign w:val="subscript"/>
        </w:rPr>
        <w:t>d</w:t>
      </w:r>
      <w:r>
        <w:rPr>
          <w:rFonts w:ascii="Arial" w:hAnsi="Arial" w:cs="Arial"/>
          <w:kern w:val="0"/>
          <w:sz w:val="24"/>
          <w:szCs w:val="24"/>
        </w:rPr>
        <w:t>——基础底面处平均压力设计值（kPa）；</w:t>
      </w:r>
    </w:p>
    <w:p>
      <w:pPr>
        <w:spacing w:line="360" w:lineRule="auto"/>
        <w:ind w:left="1208" w:leftChars="575"/>
        <w:rPr>
          <w:rFonts w:ascii="Arial" w:hAnsi="Arial" w:cs="Arial"/>
          <w:kern w:val="0"/>
          <w:sz w:val="24"/>
          <w:szCs w:val="24"/>
        </w:rPr>
      </w:pPr>
      <w:r>
        <w:rPr>
          <w:rFonts w:ascii="Arial" w:hAnsi="Arial" w:cs="Arial"/>
          <w:kern w:val="0"/>
          <w:sz w:val="24"/>
          <w:szCs w:val="24"/>
        </w:rPr>
        <w:t>F</w:t>
      </w:r>
      <w:r>
        <w:rPr>
          <w:rFonts w:ascii="Arial" w:hAnsi="Arial" w:cs="Arial"/>
          <w:kern w:val="0"/>
          <w:sz w:val="24"/>
          <w:szCs w:val="24"/>
          <w:vertAlign w:val="subscript"/>
        </w:rPr>
        <w:t>d</w:t>
      </w:r>
      <w:r>
        <w:rPr>
          <w:rFonts w:ascii="Arial" w:hAnsi="Arial" w:cs="Arial"/>
          <w:kern w:val="0"/>
          <w:sz w:val="24"/>
          <w:szCs w:val="24"/>
        </w:rPr>
        <w:t>——上部结构传至基础顶面处的竖向力设计值（kN），按作用效应基本组合计算，但其分项系数均为1.0；</w:t>
      </w:r>
    </w:p>
    <w:p>
      <w:pPr>
        <w:spacing w:line="360" w:lineRule="auto"/>
        <w:ind w:left="1208" w:leftChars="575"/>
        <w:rPr>
          <w:rFonts w:ascii="Arial" w:hAnsi="Arial" w:cs="Arial"/>
          <w:kern w:val="0"/>
          <w:sz w:val="24"/>
          <w:szCs w:val="24"/>
        </w:rPr>
      </w:pPr>
      <w:r>
        <w:rPr>
          <w:rFonts w:ascii="Arial" w:hAnsi="Arial" w:cs="Arial"/>
          <w:kern w:val="0"/>
          <w:sz w:val="24"/>
          <w:szCs w:val="24"/>
        </w:rPr>
        <w:t>G</w:t>
      </w:r>
      <w:r>
        <w:rPr>
          <w:rFonts w:ascii="Arial" w:hAnsi="Arial" w:cs="Arial"/>
          <w:kern w:val="0"/>
          <w:sz w:val="24"/>
          <w:szCs w:val="24"/>
          <w:vertAlign w:val="subscript"/>
        </w:rPr>
        <w:t>d</w:t>
      </w:r>
      <w:r>
        <w:rPr>
          <w:rFonts w:ascii="Arial" w:hAnsi="Arial" w:cs="Arial"/>
          <w:kern w:val="0"/>
          <w:sz w:val="24"/>
          <w:szCs w:val="24"/>
        </w:rPr>
        <w:t>——基础和基础上覆士自重的设计值（kN），基础材料和基础上覆土的混合重度可取20kN/m</w:t>
      </w:r>
      <w:r>
        <w:rPr>
          <w:rFonts w:ascii="Arial" w:hAnsi="Arial" w:cs="Arial"/>
          <w:kern w:val="0"/>
          <w:sz w:val="24"/>
          <w:szCs w:val="24"/>
          <w:vertAlign w:val="superscript"/>
        </w:rPr>
        <w:t>3</w:t>
      </w:r>
      <w:r>
        <w:rPr>
          <w:rFonts w:ascii="Arial" w:hAnsi="Arial" w:cs="Arial"/>
          <w:kern w:val="0"/>
          <w:sz w:val="24"/>
          <w:szCs w:val="24"/>
        </w:rPr>
        <w:t>，地下水位以下扣除浮力，自重和浮力作用分项系数取1.0；</w:t>
      </w:r>
    </w:p>
    <w:p>
      <w:pPr>
        <w:spacing w:line="360" w:lineRule="auto"/>
        <w:ind w:left="1208" w:leftChars="575"/>
        <w:rPr>
          <w:rFonts w:ascii="Arial" w:hAnsi="Arial" w:cs="Arial"/>
          <w:kern w:val="0"/>
          <w:sz w:val="24"/>
          <w:szCs w:val="24"/>
        </w:rPr>
      </w:pPr>
      <w:r>
        <w:rPr>
          <w:rFonts w:ascii="Arial" w:hAnsi="Arial" w:cs="Arial"/>
          <w:kern w:val="0"/>
          <w:sz w:val="24"/>
          <w:szCs w:val="24"/>
        </w:rPr>
        <w:t>A——基础底面积（m</w:t>
      </w:r>
      <w:r>
        <w:rPr>
          <w:rFonts w:ascii="Arial" w:hAnsi="Arial" w:cs="Arial"/>
          <w:kern w:val="0"/>
          <w:sz w:val="24"/>
          <w:szCs w:val="24"/>
          <w:vertAlign w:val="superscript"/>
        </w:rPr>
        <w:t>2</w:t>
      </w:r>
      <w:r>
        <w:rPr>
          <w:rFonts w:ascii="Arial" w:hAnsi="Arial" w:cs="Arial"/>
          <w:kern w:val="0"/>
          <w:sz w:val="24"/>
          <w:szCs w:val="24"/>
        </w:rPr>
        <w:t>）；</w:t>
      </w:r>
    </w:p>
    <w:p>
      <w:pPr>
        <w:spacing w:line="360" w:lineRule="auto"/>
        <w:ind w:left="1208" w:leftChars="575"/>
        <w:rPr>
          <w:rFonts w:ascii="Arial" w:hAnsi="Arial" w:cs="Arial"/>
          <w:kern w:val="0"/>
          <w:sz w:val="24"/>
          <w:szCs w:val="24"/>
        </w:rPr>
      </w:pPr>
      <w:r>
        <w:rPr>
          <w:rFonts w:ascii="Arial" w:hAnsi="Arial" w:cs="Arial"/>
          <w:kern w:val="0"/>
          <w:sz w:val="24"/>
          <w:szCs w:val="24"/>
        </w:rPr>
        <w:t>f</w:t>
      </w:r>
      <w:r>
        <w:rPr>
          <w:rFonts w:ascii="Arial" w:hAnsi="Arial" w:cs="Arial"/>
          <w:kern w:val="0"/>
          <w:sz w:val="24"/>
          <w:szCs w:val="24"/>
          <w:vertAlign w:val="subscript"/>
        </w:rPr>
        <w:t>d</w:t>
      </w:r>
      <w:r>
        <w:rPr>
          <w:rFonts w:ascii="Arial" w:hAnsi="Arial" w:cs="Arial"/>
          <w:kern w:val="0"/>
          <w:sz w:val="24"/>
          <w:szCs w:val="24"/>
        </w:rPr>
        <w:t>——天然地基承载力设计值（kPa）。</w:t>
      </w:r>
    </w:p>
    <w:p>
      <w:pPr>
        <w:spacing w:line="360" w:lineRule="auto"/>
        <w:ind w:firstLine="480" w:firstLineChars="200"/>
        <w:rPr>
          <w:rFonts w:ascii="Arial" w:hAnsi="Arial" w:cs="Arial"/>
          <w:kern w:val="0"/>
          <w:sz w:val="24"/>
          <w:szCs w:val="24"/>
        </w:rPr>
      </w:pPr>
      <w:r>
        <w:rPr>
          <w:rFonts w:ascii="Arial" w:hAnsi="Arial" w:cs="Arial"/>
          <w:kern w:val="0"/>
          <w:sz w:val="24"/>
          <w:szCs w:val="24"/>
        </w:rPr>
        <w:t>2 当偏心荷载作用时，除需符合公式（5.2.1-1）要求外，同时应符合下式要求：</w:t>
      </w:r>
    </w:p>
    <w:p>
      <w:pPr>
        <w:spacing w:before="156" w:beforeLines="50" w:after="156" w:afterLines="50"/>
        <w:ind w:right="-50" w:rightChars="-24"/>
        <w:jc w:val="center"/>
        <w:rPr>
          <w:rFonts w:ascii="Arial" w:hAnsi="Arial" w:cs="Arial"/>
          <w:szCs w:val="21"/>
        </w:rPr>
      </w:pPr>
      <w:r>
        <w:rPr>
          <w:rFonts w:ascii="Arial" w:hAnsi="Arial" w:cs="Arial"/>
          <w:szCs w:val="21"/>
        </w:rPr>
        <w:drawing>
          <wp:inline distT="0" distB="0" distL="0" distR="0">
            <wp:extent cx="2799080" cy="284480"/>
            <wp:effectExtent l="19050" t="0" r="1270" b="0"/>
            <wp:docPr id="4"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true" noChangeArrowheads="true"/>
                    </pic:cNvPicPr>
                  </pic:nvPicPr>
                  <pic:blipFill>
                    <a:blip r:embed="rId13" cstate="print"/>
                    <a:srcRect l="26479"/>
                    <a:stretch>
                      <a:fillRect/>
                    </a:stretch>
                  </pic:blipFill>
                  <pic:spPr>
                    <a:xfrm>
                      <a:off x="0" y="0"/>
                      <a:ext cx="2799080" cy="284480"/>
                    </a:xfrm>
                    <a:prstGeom prst="rect">
                      <a:avLst/>
                    </a:prstGeom>
                    <a:noFill/>
                    <a:ln w="9525">
                      <a:noFill/>
                      <a:miter lim="800000"/>
                      <a:headEnd/>
                      <a:tailEnd/>
                    </a:ln>
                  </pic:spPr>
                </pic:pic>
              </a:graphicData>
            </a:graphic>
          </wp:inline>
        </w:drawing>
      </w:r>
    </w:p>
    <w:p>
      <w:pPr>
        <w:spacing w:line="360" w:lineRule="auto"/>
        <w:ind w:firstLine="480" w:firstLineChars="200"/>
        <w:rPr>
          <w:rFonts w:ascii="Arial" w:hAnsi="Arial" w:cs="Arial"/>
          <w:kern w:val="0"/>
          <w:sz w:val="24"/>
          <w:szCs w:val="24"/>
        </w:rPr>
      </w:pPr>
      <w:r>
        <w:rPr>
          <w:rFonts w:ascii="Arial" w:hAnsi="Arial" w:cs="Arial"/>
          <w:kern w:val="0"/>
          <w:sz w:val="24"/>
          <w:szCs w:val="24"/>
        </w:rPr>
        <w:t>式中：p</w:t>
      </w:r>
      <w:r>
        <w:rPr>
          <w:rFonts w:ascii="Arial" w:hAnsi="Arial" w:cs="Arial"/>
          <w:kern w:val="0"/>
          <w:sz w:val="24"/>
          <w:szCs w:val="24"/>
          <w:vertAlign w:val="subscript"/>
        </w:rPr>
        <w:t>dmax</w:t>
      </w:r>
      <w:r>
        <w:rPr>
          <w:rFonts w:ascii="Arial" w:hAnsi="Arial" w:cs="Arial"/>
          <w:kern w:val="0"/>
          <w:sz w:val="24"/>
          <w:szCs w:val="24"/>
        </w:rPr>
        <w:t>——基础底面边缘最大压力设计值（kPa）；</w:t>
      </w:r>
    </w:p>
    <w:p>
      <w:pPr>
        <w:spacing w:line="360" w:lineRule="auto"/>
        <w:ind w:left="1208" w:leftChars="575"/>
        <w:rPr>
          <w:rFonts w:ascii="Arial" w:hAnsi="Arial" w:cs="Arial"/>
          <w:kern w:val="0"/>
          <w:sz w:val="24"/>
          <w:szCs w:val="24"/>
        </w:rPr>
      </w:pPr>
      <w:r>
        <w:rPr>
          <w:rFonts w:ascii="Arial" w:hAnsi="Arial" w:cs="Arial"/>
          <w:kern w:val="0"/>
          <w:sz w:val="24"/>
          <w:szCs w:val="24"/>
        </w:rPr>
        <w:t>M</w:t>
      </w:r>
      <w:r>
        <w:rPr>
          <w:rFonts w:ascii="Arial" w:hAnsi="Arial" w:cs="Arial"/>
          <w:kern w:val="0"/>
          <w:sz w:val="24"/>
          <w:szCs w:val="24"/>
          <w:vertAlign w:val="subscript"/>
        </w:rPr>
        <w:t>d</w:t>
      </w:r>
      <w:r>
        <w:rPr>
          <w:rFonts w:ascii="Arial" w:hAnsi="Arial" w:cs="Arial"/>
          <w:kern w:val="0"/>
          <w:sz w:val="24"/>
          <w:szCs w:val="24"/>
        </w:rPr>
        <w:t>——作用于基础底面处的力矩设计值（kN•m），按作用效应基本组合计算，但其分项系数均为1.0；</w:t>
      </w:r>
    </w:p>
    <w:p>
      <w:pPr>
        <w:spacing w:line="360" w:lineRule="auto"/>
        <w:ind w:left="1208" w:leftChars="575"/>
        <w:rPr>
          <w:rFonts w:ascii="Arial" w:hAnsi="Arial" w:cs="Arial"/>
          <w:kern w:val="0"/>
          <w:sz w:val="24"/>
          <w:szCs w:val="24"/>
        </w:rPr>
      </w:pPr>
      <w:r>
        <w:rPr>
          <w:rFonts w:ascii="Arial" w:hAnsi="Arial" w:cs="Arial"/>
          <w:kern w:val="0"/>
          <w:sz w:val="24"/>
          <w:szCs w:val="24"/>
        </w:rPr>
        <w:t>W——基础底面力矩作用方向的抵抗矩（m</w:t>
      </w:r>
      <w:r>
        <w:rPr>
          <w:rFonts w:ascii="Arial" w:hAnsi="Arial" w:cs="Arial"/>
          <w:kern w:val="0"/>
          <w:sz w:val="24"/>
          <w:szCs w:val="24"/>
          <w:vertAlign w:val="superscript"/>
        </w:rPr>
        <w:t>3</w:t>
      </w:r>
      <w:r>
        <w:rPr>
          <w:rFonts w:ascii="Arial" w:hAnsi="Arial" w:cs="Arial"/>
          <w:kern w:val="0"/>
          <w:sz w:val="24"/>
          <w:szCs w:val="24"/>
        </w:rPr>
        <w:t>）。</w:t>
      </w:r>
    </w:p>
    <w:p>
      <w:pPr>
        <w:spacing w:line="360" w:lineRule="auto"/>
        <w:ind w:left="1208" w:leftChars="575"/>
        <w:rPr>
          <w:rFonts w:ascii="Arial" w:hAnsi="Arial" w:cs="Arial"/>
          <w:kern w:val="0"/>
          <w:sz w:val="24"/>
          <w:szCs w:val="24"/>
        </w:rPr>
      </w:pPr>
      <w:r>
        <w:rPr>
          <w:rFonts w:ascii="Arial" w:hAnsi="Arial" w:cs="Arial"/>
          <w:kern w:val="0"/>
          <w:sz w:val="24"/>
          <w:szCs w:val="24"/>
        </w:rPr>
        <w:t>高耸构筑物受风荷载作用时，基础底面边缘最大压力设计值与最小压力设计值之比不宜大于3。</w:t>
      </w:r>
    </w:p>
    <w:p>
      <w:pPr>
        <w:spacing w:line="360" w:lineRule="auto"/>
        <w:rPr>
          <w:rFonts w:ascii="Arial" w:hAnsi="Arial" w:cs="Arial"/>
          <w:sz w:val="24"/>
          <w:szCs w:val="24"/>
        </w:rPr>
      </w:pPr>
      <w:r>
        <w:rPr>
          <w:rFonts w:ascii="Arial" w:hAnsi="Arial" w:cs="Arial"/>
          <w:sz w:val="24"/>
          <w:szCs w:val="24"/>
        </w:rPr>
        <w:t>5.2.3 当采用土的抗剪强度指标计算天然地基竖向承载力时，应符合下列规定：</w:t>
      </w:r>
    </w:p>
    <w:p>
      <w:pPr>
        <w:spacing w:line="360" w:lineRule="auto"/>
        <w:ind w:firstLine="480" w:firstLineChars="200"/>
        <w:rPr>
          <w:rFonts w:ascii="Arial" w:hAnsi="Arial" w:cs="Arial"/>
          <w:kern w:val="0"/>
          <w:sz w:val="24"/>
          <w:szCs w:val="24"/>
        </w:rPr>
      </w:pPr>
      <w:r>
        <w:rPr>
          <w:rFonts w:ascii="Arial" w:hAnsi="Arial" w:cs="Arial"/>
          <w:kern w:val="0"/>
          <w:sz w:val="24"/>
          <w:szCs w:val="24"/>
        </w:rPr>
        <w:t>1 天然地基承载力设计值fd可按下式计算：</w:t>
      </w:r>
    </w:p>
    <w:p>
      <w:pPr>
        <w:spacing w:before="156" w:beforeLines="50" w:after="156" w:afterLines="50"/>
        <w:ind w:firstLine="200"/>
        <w:jc w:val="center"/>
        <w:rPr>
          <w:rFonts w:ascii="Arial" w:hAnsi="Arial" w:cs="Arial"/>
          <w:szCs w:val="21"/>
        </w:rPr>
      </w:pPr>
      <w:r>
        <w:rPr>
          <w:rFonts w:ascii="Arial" w:hAnsi="Arial" w:cs="Arial"/>
          <w:szCs w:val="21"/>
        </w:rPr>
        <w:drawing>
          <wp:inline distT="0" distB="0" distL="0" distR="0">
            <wp:extent cx="3357880" cy="198120"/>
            <wp:effectExtent l="19050" t="0" r="0" b="0"/>
            <wp:docPr id="5"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true" noChangeArrowheads="true"/>
                    </pic:cNvPicPr>
                  </pic:nvPicPr>
                  <pic:blipFill>
                    <a:blip r:embed="rId14"/>
                    <a:srcRect l="19466" b="-424"/>
                    <a:stretch>
                      <a:fillRect/>
                    </a:stretch>
                  </pic:blipFill>
                  <pic:spPr>
                    <a:xfrm>
                      <a:off x="0" y="0"/>
                      <a:ext cx="3357880" cy="198120"/>
                    </a:xfrm>
                    <a:prstGeom prst="rect">
                      <a:avLst/>
                    </a:prstGeom>
                    <a:noFill/>
                    <a:ln w="9525">
                      <a:noFill/>
                      <a:miter lim="800000"/>
                      <a:headEnd/>
                      <a:tailEnd/>
                    </a:ln>
                  </pic:spPr>
                </pic:pic>
              </a:graphicData>
            </a:graphic>
          </wp:inline>
        </w:drawing>
      </w:r>
    </w:p>
    <w:p>
      <w:pPr>
        <w:spacing w:before="156" w:beforeLines="50" w:after="156" w:afterLines="50"/>
        <w:ind w:firstLine="200"/>
        <w:jc w:val="center"/>
        <w:rPr>
          <w:rFonts w:ascii="Arial" w:hAnsi="Arial" w:cs="Arial"/>
          <w:szCs w:val="21"/>
        </w:rPr>
      </w:pPr>
      <w:r>
        <w:rPr>
          <w:rFonts w:ascii="Arial" w:hAnsi="Arial" w:cs="Arial"/>
          <w:szCs w:val="21"/>
        </w:rPr>
        <w:drawing>
          <wp:inline distT="0" distB="0" distL="0" distR="0">
            <wp:extent cx="2463800" cy="345440"/>
            <wp:effectExtent l="19050" t="0" r="0" b="0"/>
            <wp:docPr id="6"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true" noChangeArrowheads="true"/>
                    </pic:cNvPicPr>
                  </pic:nvPicPr>
                  <pic:blipFill>
                    <a:blip r:embed="rId15"/>
                    <a:srcRect l="42940" b="-311"/>
                    <a:stretch>
                      <a:fillRect/>
                    </a:stretch>
                  </pic:blipFill>
                  <pic:spPr>
                    <a:xfrm>
                      <a:off x="0" y="0"/>
                      <a:ext cx="2463800" cy="345440"/>
                    </a:xfrm>
                    <a:prstGeom prst="rect">
                      <a:avLst/>
                    </a:prstGeom>
                    <a:noFill/>
                    <a:ln w="9525">
                      <a:noFill/>
                      <a:miter lim="800000"/>
                      <a:headEnd/>
                      <a:tailEnd/>
                    </a:ln>
                  </pic:spPr>
                </pic:pic>
              </a:graphicData>
            </a:graphic>
          </wp:inline>
        </w:drawing>
      </w:r>
    </w:p>
    <w:p>
      <w:pPr>
        <w:spacing w:before="156" w:beforeLines="50" w:after="156" w:afterLines="50"/>
        <w:ind w:firstLine="200"/>
        <w:jc w:val="center"/>
        <w:rPr>
          <w:rFonts w:ascii="Arial" w:hAnsi="Arial" w:cs="Arial"/>
          <w:szCs w:val="21"/>
        </w:rPr>
      </w:pPr>
      <w:r>
        <w:rPr>
          <w:rFonts w:ascii="Arial" w:hAnsi="Arial" w:cs="Arial"/>
          <w:szCs w:val="21"/>
        </w:rPr>
        <w:drawing>
          <wp:inline distT="0" distB="0" distL="0" distR="0">
            <wp:extent cx="2397760" cy="350520"/>
            <wp:effectExtent l="19050" t="0" r="2540" b="0"/>
            <wp:docPr id="7"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true" noChangeArrowheads="true"/>
                    </pic:cNvPicPr>
                  </pic:nvPicPr>
                  <pic:blipFill>
                    <a:blip r:embed="rId16"/>
                    <a:srcRect l="42830" b="-1350"/>
                    <a:stretch>
                      <a:fillRect/>
                    </a:stretch>
                  </pic:blipFill>
                  <pic:spPr>
                    <a:xfrm>
                      <a:off x="0" y="0"/>
                      <a:ext cx="2397760" cy="350520"/>
                    </a:xfrm>
                    <a:prstGeom prst="rect">
                      <a:avLst/>
                    </a:prstGeom>
                    <a:noFill/>
                    <a:ln w="9525">
                      <a:noFill/>
                      <a:miter lim="800000"/>
                      <a:headEnd/>
                      <a:tailEnd/>
                    </a:ln>
                  </pic:spPr>
                </pic:pic>
              </a:graphicData>
            </a:graphic>
          </wp:inline>
        </w:drawing>
      </w:r>
    </w:p>
    <w:p>
      <w:pPr>
        <w:spacing w:line="360" w:lineRule="auto"/>
        <w:ind w:firstLine="480" w:firstLineChars="200"/>
        <w:rPr>
          <w:rFonts w:ascii="Arial" w:hAnsi="Arial" w:cs="Arial"/>
          <w:kern w:val="0"/>
          <w:sz w:val="24"/>
          <w:szCs w:val="24"/>
        </w:rPr>
      </w:pPr>
      <w:r>
        <w:rPr>
          <w:rFonts w:ascii="Arial" w:hAnsi="Arial" w:cs="Arial"/>
          <w:kern w:val="0"/>
          <w:sz w:val="24"/>
          <w:szCs w:val="24"/>
        </w:rPr>
        <w:t>式中：ψ——地基承载力修正系数，按内摩擦角设计值φ</w:t>
      </w:r>
      <w:r>
        <w:rPr>
          <w:rFonts w:ascii="Arial" w:hAnsi="Arial" w:cs="Arial"/>
          <w:kern w:val="0"/>
          <w:sz w:val="24"/>
          <w:szCs w:val="24"/>
          <w:vertAlign w:val="subscript"/>
        </w:rPr>
        <w:t>d</w:t>
      </w:r>
      <w:r>
        <w:rPr>
          <w:rFonts w:ascii="Arial" w:hAnsi="Arial" w:cs="Arial"/>
          <w:kern w:val="0"/>
          <w:sz w:val="24"/>
          <w:szCs w:val="24"/>
        </w:rPr>
        <w:t>由表5.2.3-1查得；</w:t>
      </w:r>
    </w:p>
    <w:p>
      <w:pPr>
        <w:spacing w:line="360" w:lineRule="auto"/>
        <w:ind w:left="1103" w:leftChars="525"/>
        <w:rPr>
          <w:rFonts w:ascii="Arial" w:hAnsi="Arial" w:cs="Arial"/>
          <w:kern w:val="0"/>
          <w:sz w:val="24"/>
          <w:szCs w:val="24"/>
        </w:rPr>
      </w:pPr>
      <w:r>
        <w:rPr>
          <w:rFonts w:ascii="Arial" w:hAnsi="Arial" w:cs="Arial"/>
          <w:kern w:val="0"/>
          <w:sz w:val="24"/>
          <w:szCs w:val="24"/>
        </w:rPr>
        <w:t>N</w:t>
      </w:r>
      <w:r>
        <w:rPr>
          <w:rFonts w:ascii="Arial" w:hAnsi="Arial" w:cs="Arial"/>
          <w:kern w:val="0"/>
          <w:sz w:val="24"/>
          <w:szCs w:val="24"/>
          <w:vertAlign w:val="subscript"/>
        </w:rPr>
        <w:t>γ</w:t>
      </w:r>
      <w:r>
        <w:rPr>
          <w:rFonts w:ascii="Arial" w:hAnsi="Arial" w:cs="Arial"/>
          <w:kern w:val="0"/>
          <w:sz w:val="24"/>
          <w:szCs w:val="24"/>
        </w:rPr>
        <w:t>、N</w:t>
      </w:r>
      <w:r>
        <w:rPr>
          <w:rFonts w:ascii="Arial" w:hAnsi="Arial" w:cs="Arial"/>
          <w:kern w:val="0"/>
          <w:sz w:val="24"/>
          <w:szCs w:val="24"/>
          <w:vertAlign w:val="subscript"/>
        </w:rPr>
        <w:t>q</w:t>
      </w:r>
      <w:r>
        <w:rPr>
          <w:rFonts w:ascii="Arial" w:hAnsi="Arial" w:cs="Arial"/>
          <w:kern w:val="0"/>
          <w:sz w:val="24"/>
          <w:szCs w:val="24"/>
        </w:rPr>
        <w:t>、N</w:t>
      </w:r>
      <w:r>
        <w:rPr>
          <w:rFonts w:ascii="Arial" w:hAnsi="Arial" w:cs="Arial"/>
          <w:kern w:val="0"/>
          <w:sz w:val="24"/>
          <w:szCs w:val="24"/>
          <w:vertAlign w:val="subscript"/>
        </w:rPr>
        <w:t>c</w:t>
      </w:r>
      <w:r>
        <w:rPr>
          <w:rFonts w:ascii="Arial" w:hAnsi="Arial" w:cs="Arial"/>
          <w:kern w:val="0"/>
          <w:sz w:val="24"/>
          <w:szCs w:val="24"/>
        </w:rPr>
        <w:t>——承载力系数，按内摩擦角设计值φd由表5.2.3-2查得；</w:t>
      </w:r>
    </w:p>
    <w:p>
      <w:pPr>
        <w:spacing w:line="360" w:lineRule="auto"/>
        <w:ind w:left="1103" w:leftChars="525"/>
        <w:rPr>
          <w:rFonts w:ascii="Arial" w:hAnsi="Arial" w:cs="Arial"/>
          <w:kern w:val="0"/>
          <w:sz w:val="24"/>
          <w:szCs w:val="24"/>
        </w:rPr>
      </w:pPr>
      <w:r>
        <w:rPr>
          <w:rFonts w:ascii="Arial" w:hAnsi="Arial" w:cs="Arial"/>
          <w:kern w:val="0"/>
          <w:sz w:val="24"/>
          <w:szCs w:val="24"/>
        </w:rPr>
        <w:t>c</w:t>
      </w:r>
      <w:r>
        <w:rPr>
          <w:rFonts w:ascii="Arial" w:hAnsi="Arial" w:cs="Arial"/>
          <w:kern w:val="0"/>
          <w:sz w:val="24"/>
          <w:szCs w:val="24"/>
          <w:vertAlign w:val="subscript"/>
        </w:rPr>
        <w:t>d</w:t>
      </w:r>
      <w:r>
        <w:rPr>
          <w:rFonts w:ascii="Arial" w:hAnsi="Arial" w:cs="Arial"/>
          <w:kern w:val="0"/>
          <w:sz w:val="24"/>
          <w:szCs w:val="24"/>
        </w:rPr>
        <w:t>——地基土的黏聚力设计值（kPa），由公式（5.2.3-2）确定；</w:t>
      </w:r>
    </w:p>
    <w:p>
      <w:pPr>
        <w:spacing w:line="360" w:lineRule="auto"/>
        <w:ind w:left="1103" w:leftChars="525"/>
        <w:rPr>
          <w:rFonts w:ascii="Arial" w:hAnsi="Arial" w:cs="Arial"/>
          <w:kern w:val="0"/>
          <w:sz w:val="24"/>
          <w:szCs w:val="24"/>
        </w:rPr>
      </w:pPr>
      <w:r>
        <w:rPr>
          <w:rFonts w:ascii="Arial" w:hAnsi="Arial" w:cs="Arial"/>
          <w:kern w:val="0"/>
          <w:sz w:val="24"/>
          <w:szCs w:val="24"/>
        </w:rPr>
        <w:t>φ</w:t>
      </w:r>
      <w:r>
        <w:rPr>
          <w:rFonts w:ascii="Arial" w:hAnsi="Arial" w:cs="Arial"/>
          <w:kern w:val="0"/>
          <w:sz w:val="24"/>
          <w:szCs w:val="24"/>
          <w:vertAlign w:val="subscript"/>
        </w:rPr>
        <w:t>d</w:t>
      </w:r>
      <w:r>
        <w:rPr>
          <w:rFonts w:ascii="Arial" w:hAnsi="Arial" w:cs="Arial"/>
          <w:kern w:val="0"/>
          <w:sz w:val="24"/>
          <w:szCs w:val="24"/>
        </w:rPr>
        <w:t>——地基土的内摩擦角设计值（º），由公式（5.2.3-3）确定；</w:t>
      </w:r>
    </w:p>
    <w:p>
      <w:pPr>
        <w:spacing w:line="360" w:lineRule="auto"/>
        <w:ind w:left="1103" w:leftChars="525"/>
        <w:rPr>
          <w:rFonts w:ascii="Arial" w:hAnsi="Arial" w:cs="Arial"/>
          <w:kern w:val="0"/>
          <w:sz w:val="24"/>
          <w:szCs w:val="24"/>
        </w:rPr>
      </w:pPr>
      <w:r>
        <w:rPr>
          <w:rFonts w:ascii="Arial" w:hAnsi="Arial" w:cs="Arial"/>
          <w:kern w:val="0"/>
          <w:sz w:val="24"/>
          <w:szCs w:val="24"/>
        </w:rPr>
        <w:t>b——基础宽度（m），验算偏心荷载时，应取力矩作用方向的基础边长，大于6m时用6m计算；</w:t>
      </w:r>
    </w:p>
    <w:p>
      <w:pPr>
        <w:spacing w:line="360" w:lineRule="auto"/>
        <w:ind w:left="1103" w:leftChars="525"/>
        <w:rPr>
          <w:rFonts w:ascii="Arial" w:hAnsi="Arial" w:cs="Arial"/>
          <w:kern w:val="0"/>
          <w:sz w:val="24"/>
          <w:szCs w:val="24"/>
        </w:rPr>
      </w:pPr>
      <w:r>
        <w:rPr>
          <w:rFonts w:ascii="Arial" w:hAnsi="Arial" w:cs="Arial"/>
          <w:kern w:val="0"/>
          <w:sz w:val="24"/>
          <w:szCs w:val="24"/>
        </w:rPr>
        <w:t>γ——基础底面以下土的重度（kN/m</w:t>
      </w:r>
      <w:r>
        <w:rPr>
          <w:rFonts w:ascii="Arial" w:hAnsi="Arial" w:cs="Arial"/>
          <w:kern w:val="0"/>
          <w:sz w:val="24"/>
          <w:szCs w:val="24"/>
          <w:vertAlign w:val="superscript"/>
        </w:rPr>
        <w:t>3</w:t>
      </w:r>
      <w:r>
        <w:rPr>
          <w:rFonts w:ascii="Arial" w:hAnsi="Arial" w:cs="Arial"/>
          <w:kern w:val="0"/>
          <w:sz w:val="24"/>
          <w:szCs w:val="24"/>
        </w:rPr>
        <w:t>），地下水位以下取浮重度；</w:t>
      </w:r>
    </w:p>
    <w:p>
      <w:pPr>
        <w:spacing w:line="360" w:lineRule="auto"/>
        <w:ind w:left="1103" w:leftChars="525"/>
        <w:rPr>
          <w:rFonts w:ascii="Arial" w:hAnsi="Arial" w:cs="Arial"/>
          <w:kern w:val="0"/>
          <w:sz w:val="24"/>
          <w:szCs w:val="24"/>
        </w:rPr>
      </w:pPr>
      <w:r>
        <w:rPr>
          <w:rFonts w:ascii="Arial" w:hAnsi="Arial" w:cs="Arial"/>
          <w:kern w:val="0"/>
          <w:sz w:val="24"/>
          <w:szCs w:val="24"/>
        </w:rPr>
        <w:t>c</w:t>
      </w:r>
      <w:r>
        <w:rPr>
          <w:rFonts w:ascii="Arial" w:hAnsi="Arial" w:cs="Arial"/>
          <w:kern w:val="0"/>
          <w:sz w:val="24"/>
          <w:szCs w:val="24"/>
          <w:vertAlign w:val="subscript"/>
        </w:rPr>
        <w:t>k</w:t>
      </w:r>
      <w:r>
        <w:rPr>
          <w:rFonts w:ascii="Arial" w:hAnsi="Arial" w:cs="Arial"/>
          <w:kern w:val="0"/>
          <w:sz w:val="24"/>
          <w:szCs w:val="24"/>
        </w:rPr>
        <w:t>——土的黏聚力标准值（kPa），取直剪固快峰值强度指标的平均值；</w:t>
      </w:r>
    </w:p>
    <w:p>
      <w:pPr>
        <w:spacing w:line="360" w:lineRule="auto"/>
        <w:ind w:left="1103" w:leftChars="525"/>
        <w:rPr>
          <w:rFonts w:ascii="Arial" w:hAnsi="Arial" w:cs="Arial"/>
          <w:kern w:val="0"/>
          <w:sz w:val="24"/>
          <w:szCs w:val="24"/>
        </w:rPr>
      </w:pPr>
      <w:r>
        <w:rPr>
          <w:rFonts w:ascii="Arial" w:hAnsi="Arial" w:cs="Arial"/>
          <w:kern w:val="0"/>
          <w:sz w:val="24"/>
          <w:szCs w:val="24"/>
        </w:rPr>
        <w:t>φ</w:t>
      </w:r>
      <w:r>
        <w:rPr>
          <w:rFonts w:ascii="Arial" w:hAnsi="Arial" w:cs="Arial"/>
          <w:kern w:val="0"/>
          <w:sz w:val="24"/>
          <w:szCs w:val="24"/>
          <w:vertAlign w:val="subscript"/>
        </w:rPr>
        <w:t>k</w:t>
      </w:r>
      <w:r>
        <w:rPr>
          <w:rFonts w:ascii="Arial" w:hAnsi="Arial" w:cs="Arial"/>
          <w:kern w:val="0"/>
          <w:sz w:val="24"/>
          <w:szCs w:val="24"/>
        </w:rPr>
        <w:t>——土的内摩擦角标准值（º），取直剪固快峰值强度指标的平均值；</w:t>
      </w:r>
    </w:p>
    <w:p>
      <w:pPr>
        <w:spacing w:line="360" w:lineRule="auto"/>
        <w:ind w:left="1103" w:leftChars="525"/>
        <w:rPr>
          <w:rFonts w:ascii="Arial" w:hAnsi="Arial" w:cs="Arial"/>
          <w:kern w:val="0"/>
          <w:sz w:val="24"/>
          <w:szCs w:val="24"/>
        </w:rPr>
      </w:pPr>
      <w:r>
        <w:rPr>
          <w:rFonts w:ascii="Arial" w:hAnsi="Arial" w:cs="Arial"/>
          <w:kern w:val="0"/>
          <w:sz w:val="24"/>
          <w:szCs w:val="24"/>
        </w:rPr>
        <w:t>λ——土的抗剪强度指标标准值修正系数，取0.8；</w:t>
      </w:r>
    </w:p>
    <w:p>
      <w:pPr>
        <w:spacing w:line="360" w:lineRule="auto"/>
        <w:ind w:left="1103" w:leftChars="525"/>
        <w:rPr>
          <w:rFonts w:ascii="Arial" w:hAnsi="Arial" w:cs="Arial"/>
          <w:kern w:val="0"/>
          <w:sz w:val="24"/>
          <w:szCs w:val="24"/>
        </w:rPr>
      </w:pPr>
      <w:r>
        <w:rPr>
          <w:rFonts w:ascii="Arial" w:hAnsi="Arial" w:cs="Arial"/>
          <w:kern w:val="0"/>
          <w:sz w:val="24"/>
          <w:szCs w:val="24"/>
        </w:rPr>
        <w:t>γ</w:t>
      </w:r>
      <w:r>
        <w:rPr>
          <w:rFonts w:ascii="Arial" w:hAnsi="Arial" w:cs="Arial"/>
          <w:kern w:val="0"/>
          <w:sz w:val="24"/>
          <w:szCs w:val="24"/>
          <w:vertAlign w:val="subscript"/>
        </w:rPr>
        <w:t>c</w:t>
      </w:r>
      <w:r>
        <w:rPr>
          <w:rFonts w:ascii="Arial" w:hAnsi="Arial" w:cs="Arial"/>
          <w:kern w:val="0"/>
          <w:sz w:val="24"/>
          <w:szCs w:val="24"/>
        </w:rPr>
        <w:t>——土的黏聚力分项系数，取2.7；</w:t>
      </w:r>
    </w:p>
    <w:p>
      <w:pPr>
        <w:spacing w:line="360" w:lineRule="auto"/>
        <w:ind w:left="1103" w:leftChars="525"/>
        <w:rPr>
          <w:rFonts w:ascii="Arial" w:hAnsi="Arial" w:cs="Arial"/>
          <w:kern w:val="0"/>
          <w:sz w:val="24"/>
          <w:szCs w:val="24"/>
        </w:rPr>
      </w:pPr>
      <w:r>
        <w:rPr>
          <w:rFonts w:ascii="Arial" w:hAnsi="Arial" w:cs="Arial"/>
          <w:kern w:val="0"/>
          <w:sz w:val="24"/>
          <w:szCs w:val="24"/>
        </w:rPr>
        <w:t>γ</w:t>
      </w:r>
      <w:r>
        <w:rPr>
          <w:rFonts w:ascii="Arial" w:hAnsi="Arial" w:cs="Arial"/>
          <w:kern w:val="0"/>
          <w:sz w:val="24"/>
          <w:szCs w:val="24"/>
          <w:vertAlign w:val="subscript"/>
        </w:rPr>
        <w:t>φ</w:t>
      </w:r>
      <w:r>
        <w:rPr>
          <w:rFonts w:ascii="Arial" w:hAnsi="Arial" w:cs="Arial"/>
          <w:kern w:val="0"/>
          <w:sz w:val="24"/>
          <w:szCs w:val="24"/>
        </w:rPr>
        <w:t>——土的内摩擦角分项系数，取1.2；</w:t>
      </w:r>
    </w:p>
    <w:p>
      <w:pPr>
        <w:spacing w:line="360" w:lineRule="auto"/>
        <w:ind w:left="1103" w:leftChars="525"/>
        <w:rPr>
          <w:rFonts w:ascii="Arial" w:hAnsi="Arial" w:cs="Arial"/>
          <w:kern w:val="0"/>
          <w:sz w:val="24"/>
          <w:szCs w:val="24"/>
        </w:rPr>
      </w:pPr>
      <w:r>
        <w:rPr>
          <w:rFonts w:ascii="Arial" w:hAnsi="Arial" w:cs="Arial"/>
          <w:kern w:val="0"/>
          <w:sz w:val="24"/>
          <w:szCs w:val="24"/>
        </w:rPr>
        <w:t>ζ</w:t>
      </w:r>
      <w:r>
        <w:rPr>
          <w:rFonts w:ascii="Arial" w:hAnsi="Arial" w:cs="Arial"/>
          <w:kern w:val="0"/>
          <w:sz w:val="24"/>
          <w:szCs w:val="24"/>
          <w:vertAlign w:val="subscript"/>
        </w:rPr>
        <w:t>γ</w:t>
      </w:r>
      <w:r>
        <w:rPr>
          <w:rFonts w:ascii="Arial" w:hAnsi="Arial" w:cs="Arial"/>
          <w:kern w:val="0"/>
          <w:sz w:val="24"/>
          <w:szCs w:val="24"/>
        </w:rPr>
        <w:t>、ζ</w:t>
      </w:r>
      <w:r>
        <w:rPr>
          <w:rFonts w:ascii="Arial" w:hAnsi="Arial" w:cs="Arial"/>
          <w:kern w:val="0"/>
          <w:sz w:val="24"/>
          <w:szCs w:val="24"/>
          <w:vertAlign w:val="subscript"/>
        </w:rPr>
        <w:t>q</w:t>
      </w:r>
      <w:r>
        <w:rPr>
          <w:rFonts w:ascii="Arial" w:hAnsi="Arial" w:cs="Arial"/>
          <w:kern w:val="0"/>
          <w:sz w:val="24"/>
          <w:szCs w:val="24"/>
        </w:rPr>
        <w:t>、ζ</w:t>
      </w:r>
      <w:r>
        <w:rPr>
          <w:rFonts w:ascii="Arial" w:hAnsi="Arial" w:cs="Arial"/>
          <w:kern w:val="0"/>
          <w:sz w:val="24"/>
          <w:szCs w:val="24"/>
          <w:vertAlign w:val="subscript"/>
        </w:rPr>
        <w:t>c</w:t>
      </w:r>
      <w:r>
        <w:rPr>
          <w:rFonts w:ascii="Arial" w:hAnsi="Arial" w:cs="Arial"/>
          <w:kern w:val="0"/>
          <w:sz w:val="24"/>
          <w:szCs w:val="24"/>
        </w:rPr>
        <w:t>——基础形状系数，按不同情况由下列公式计算：</w:t>
      </w:r>
    </w:p>
    <w:p>
      <w:pPr>
        <w:spacing w:line="360" w:lineRule="auto"/>
        <w:ind w:left="1103" w:leftChars="525"/>
        <w:rPr>
          <w:rFonts w:ascii="Arial" w:hAnsi="Arial" w:cs="Arial"/>
          <w:kern w:val="0"/>
          <w:sz w:val="24"/>
          <w:szCs w:val="24"/>
        </w:rPr>
      </w:pPr>
      <w:r>
        <w:rPr>
          <w:rFonts w:ascii="Arial" w:hAnsi="Arial" w:cs="Arial"/>
          <w:kern w:val="0"/>
          <w:sz w:val="24"/>
          <w:szCs w:val="24"/>
        </w:rPr>
        <w:t>当为条形基础时</w:t>
      </w:r>
      <w:r>
        <w:rPr>
          <w:rFonts w:hint="eastAsia" w:ascii="Arial" w:hAnsi="Arial" w:cs="Arial"/>
          <w:kern w:val="0"/>
          <w:sz w:val="24"/>
          <w:szCs w:val="24"/>
        </w:rPr>
        <w:t>：</w:t>
      </w:r>
      <w:r>
        <w:rPr>
          <w:rFonts w:ascii="Arial" w:hAnsi="Arial" w:cs="Arial"/>
          <w:kern w:val="0"/>
          <w:sz w:val="24"/>
          <w:szCs w:val="24"/>
        </w:rPr>
        <w:t xml:space="preserve"> ζ</w:t>
      </w:r>
      <w:r>
        <w:rPr>
          <w:rFonts w:ascii="Arial" w:hAnsi="Arial" w:cs="Arial"/>
          <w:kern w:val="0"/>
          <w:sz w:val="24"/>
          <w:szCs w:val="24"/>
          <w:vertAlign w:val="subscript"/>
        </w:rPr>
        <w:t>γ</w:t>
      </w:r>
      <w:r>
        <w:rPr>
          <w:rFonts w:ascii="Arial" w:hAnsi="Arial" w:cs="Arial"/>
          <w:kern w:val="0"/>
          <w:sz w:val="24"/>
          <w:szCs w:val="24"/>
        </w:rPr>
        <w:t>=ζ</w:t>
      </w:r>
      <w:r>
        <w:rPr>
          <w:rFonts w:ascii="Arial" w:hAnsi="Arial" w:cs="Arial"/>
          <w:kern w:val="0"/>
          <w:sz w:val="24"/>
          <w:szCs w:val="24"/>
          <w:vertAlign w:val="subscript"/>
        </w:rPr>
        <w:t>q</w:t>
      </w:r>
      <w:r>
        <w:rPr>
          <w:rFonts w:ascii="Arial" w:hAnsi="Arial" w:cs="Arial"/>
          <w:kern w:val="0"/>
          <w:sz w:val="24"/>
          <w:szCs w:val="24"/>
        </w:rPr>
        <w:t xml:space="preserve"> =ζ</w:t>
      </w:r>
      <w:r>
        <w:rPr>
          <w:rFonts w:ascii="Arial" w:hAnsi="Arial" w:cs="Arial"/>
          <w:kern w:val="0"/>
          <w:sz w:val="24"/>
          <w:szCs w:val="24"/>
          <w:vertAlign w:val="subscript"/>
        </w:rPr>
        <w:t>c</w:t>
      </w:r>
      <w:r>
        <w:rPr>
          <w:rFonts w:ascii="Arial" w:hAnsi="Arial" w:cs="Arial"/>
          <w:kern w:val="0"/>
          <w:sz w:val="24"/>
          <w:szCs w:val="24"/>
        </w:rPr>
        <w:t xml:space="preserve"> =1；</w:t>
      </w:r>
    </w:p>
    <w:p>
      <w:pPr>
        <w:spacing w:line="360" w:lineRule="auto"/>
        <w:ind w:left="1103" w:leftChars="525"/>
        <w:rPr>
          <w:rFonts w:ascii="Arial" w:hAnsi="Arial" w:cs="Arial"/>
          <w:kern w:val="0"/>
          <w:sz w:val="24"/>
          <w:szCs w:val="24"/>
        </w:rPr>
      </w:pPr>
      <w:r>
        <w:rPr>
          <w:rFonts w:ascii="Arial" w:hAnsi="Arial" w:cs="Arial"/>
          <w:kern w:val="0"/>
          <w:sz w:val="24"/>
          <w:szCs w:val="24"/>
        </w:rPr>
        <w:t>当为矩形基础时</w:t>
      </w:r>
      <w:r>
        <w:rPr>
          <w:rFonts w:hint="eastAsia" w:ascii="Arial" w:hAnsi="Arial" w:cs="Arial"/>
          <w:kern w:val="0"/>
          <w:sz w:val="24"/>
          <w:szCs w:val="24"/>
        </w:rPr>
        <w:t>：</w:t>
      </w:r>
    </w:p>
    <w:p>
      <w:pPr>
        <w:spacing w:line="360" w:lineRule="auto"/>
        <w:ind w:left="1103" w:leftChars="525"/>
        <w:jc w:val="left"/>
        <w:rPr>
          <w:rFonts w:ascii="Arial" w:hAnsi="Arial" w:cs="Arial"/>
          <w:kern w:val="0"/>
          <w:sz w:val="24"/>
          <w:szCs w:val="24"/>
        </w:rPr>
      </w:pPr>
      <w:r>
        <w:rPr>
          <w:rFonts w:ascii="Arial" w:hAnsi="Arial" w:cs="Arial"/>
          <w:kern w:val="0"/>
          <w:sz w:val="24"/>
          <w:szCs w:val="24"/>
        </w:rPr>
        <w:t xml:space="preserve">  </w:t>
      </w:r>
      <w:r>
        <w:rPr>
          <w:rFonts w:ascii="Arial" w:hAnsi="Arial" w:cs="Arial"/>
          <w:kern w:val="0"/>
          <w:sz w:val="24"/>
          <w:szCs w:val="24"/>
        </w:rPr>
        <w:drawing>
          <wp:inline distT="0" distB="0" distL="0" distR="0">
            <wp:extent cx="1021080" cy="284480"/>
            <wp:effectExtent l="19050" t="0" r="7620" b="0"/>
            <wp:docPr id="8"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true" noChangeArrowheads="true"/>
                    </pic:cNvPicPr>
                  </pic:nvPicPr>
                  <pic:blipFill>
                    <a:blip r:embed="rId17"/>
                    <a:srcRect/>
                    <a:stretch>
                      <a:fillRect/>
                    </a:stretch>
                  </pic:blipFill>
                  <pic:spPr>
                    <a:xfrm>
                      <a:off x="0" y="0"/>
                      <a:ext cx="1021080" cy="284480"/>
                    </a:xfrm>
                    <a:prstGeom prst="rect">
                      <a:avLst/>
                    </a:prstGeom>
                    <a:noFill/>
                    <a:ln w="9525">
                      <a:noFill/>
                      <a:miter lim="800000"/>
                      <a:headEnd/>
                      <a:tailEnd/>
                    </a:ln>
                  </pic:spPr>
                </pic:pic>
              </a:graphicData>
            </a:graphic>
          </wp:inline>
        </w:drawing>
      </w:r>
      <w:r>
        <w:rPr>
          <w:rFonts w:ascii="Arial" w:hAnsi="Arial" w:cs="Arial"/>
          <w:kern w:val="0"/>
          <w:sz w:val="24"/>
          <w:szCs w:val="24"/>
        </w:rPr>
        <w:t xml:space="preserve">； </w:t>
      </w:r>
      <w:r>
        <w:rPr>
          <w:rFonts w:ascii="Arial" w:hAnsi="Arial" w:cs="Arial"/>
          <w:kern w:val="0"/>
          <w:sz w:val="24"/>
          <w:szCs w:val="24"/>
        </w:rPr>
        <w:drawing>
          <wp:inline distT="0" distB="0" distL="0" distR="0">
            <wp:extent cx="2230120" cy="293370"/>
            <wp:effectExtent l="0" t="0" r="17780" b="11430"/>
            <wp:docPr id="9"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true" noChangeArrowheads="true"/>
                    </pic:cNvPicPr>
                  </pic:nvPicPr>
                  <pic:blipFill>
                    <a:blip r:embed="rId18"/>
                    <a:srcRect/>
                    <a:stretch>
                      <a:fillRect/>
                    </a:stretch>
                  </pic:blipFill>
                  <pic:spPr>
                    <a:xfrm>
                      <a:off x="0" y="0"/>
                      <a:ext cx="2230120" cy="293370"/>
                    </a:xfrm>
                    <a:prstGeom prst="rect">
                      <a:avLst/>
                    </a:prstGeom>
                    <a:noFill/>
                    <a:ln w="9525">
                      <a:noFill/>
                      <a:miter lim="800000"/>
                      <a:headEnd/>
                      <a:tailEnd/>
                    </a:ln>
                  </pic:spPr>
                </pic:pic>
              </a:graphicData>
            </a:graphic>
          </wp:inline>
        </w:drawing>
      </w:r>
      <w:r>
        <w:rPr>
          <w:rFonts w:ascii="Arial" w:hAnsi="Arial" w:cs="Arial"/>
          <w:kern w:val="0"/>
          <w:sz w:val="24"/>
          <w:szCs w:val="24"/>
        </w:rPr>
        <w:t>；</w:t>
      </w:r>
    </w:p>
    <w:p>
      <w:pPr>
        <w:spacing w:line="360" w:lineRule="auto"/>
        <w:ind w:left="1103" w:leftChars="525"/>
        <w:rPr>
          <w:rFonts w:ascii="Arial" w:hAnsi="Arial" w:cs="Arial"/>
          <w:kern w:val="0"/>
          <w:sz w:val="24"/>
          <w:szCs w:val="24"/>
        </w:rPr>
      </w:pPr>
      <w:r>
        <w:rPr>
          <w:rFonts w:ascii="Arial" w:hAnsi="Arial" w:cs="Arial"/>
          <w:kern w:val="0"/>
          <w:sz w:val="24"/>
          <w:szCs w:val="24"/>
        </w:rPr>
        <w:t>l——矩形基础的长度（m）；</w:t>
      </w:r>
    </w:p>
    <w:p>
      <w:pPr>
        <w:spacing w:line="360" w:lineRule="auto"/>
        <w:ind w:left="1103" w:leftChars="525"/>
        <w:rPr>
          <w:rFonts w:ascii="Arial" w:hAnsi="Arial" w:cs="Arial"/>
          <w:kern w:val="0"/>
          <w:sz w:val="24"/>
          <w:szCs w:val="24"/>
        </w:rPr>
      </w:pPr>
      <w:r>
        <w:rPr>
          <w:rFonts w:ascii="Arial" w:hAnsi="Arial" w:cs="Arial"/>
          <w:kern w:val="0"/>
          <w:sz w:val="24"/>
          <w:szCs w:val="24"/>
        </w:rPr>
        <w:t>b——矩形基础的宽度（m），对于圆形基础，取l=b=D，D为圆形基础直径。</w:t>
      </w:r>
    </w:p>
    <w:p>
      <w:pPr>
        <w:spacing w:before="156" w:beforeLines="50" w:after="156" w:afterLines="50"/>
        <w:ind w:left="420" w:leftChars="200" w:right="420" w:rightChars="200"/>
        <w:jc w:val="center"/>
        <w:rPr>
          <w:rFonts w:ascii="Arial" w:hAnsi="Arial" w:cs="Arial"/>
          <w:szCs w:val="21"/>
        </w:rPr>
      </w:pPr>
      <w:r>
        <w:rPr>
          <w:rFonts w:ascii="Arial" w:hAnsi="Arial" w:cs="Arial"/>
          <w:szCs w:val="21"/>
        </w:rPr>
        <w:drawing>
          <wp:inline distT="0" distB="0" distL="0" distR="0">
            <wp:extent cx="3972560" cy="721360"/>
            <wp:effectExtent l="19050" t="0" r="8890" b="0"/>
            <wp:docPr id="10"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true" noChangeArrowheads="true"/>
                    </pic:cNvPicPr>
                  </pic:nvPicPr>
                  <pic:blipFill>
                    <a:blip r:embed="rId19"/>
                    <a:srcRect/>
                    <a:stretch>
                      <a:fillRect/>
                    </a:stretch>
                  </pic:blipFill>
                  <pic:spPr>
                    <a:xfrm>
                      <a:off x="0" y="0"/>
                      <a:ext cx="3972560" cy="721360"/>
                    </a:xfrm>
                    <a:prstGeom prst="rect">
                      <a:avLst/>
                    </a:prstGeom>
                    <a:noFill/>
                    <a:ln w="9525">
                      <a:noFill/>
                      <a:miter lim="800000"/>
                      <a:headEnd/>
                      <a:tailEnd/>
                    </a:ln>
                  </pic:spPr>
                </pic:pic>
              </a:graphicData>
            </a:graphic>
          </wp:inline>
        </w:drawing>
      </w:r>
    </w:p>
    <w:p>
      <w:pPr>
        <w:spacing w:before="156" w:beforeLines="50" w:after="156" w:afterLines="50"/>
        <w:ind w:left="420" w:leftChars="200" w:right="420" w:rightChars="200"/>
        <w:jc w:val="center"/>
        <w:rPr>
          <w:rFonts w:ascii="Arial" w:hAnsi="Arial" w:cs="Arial"/>
          <w:szCs w:val="21"/>
        </w:rPr>
      </w:pPr>
      <w:r>
        <w:rPr>
          <w:rFonts w:ascii="Arial" w:hAnsi="Arial" w:cs="Arial"/>
          <w:szCs w:val="21"/>
        </w:rPr>
        <w:drawing>
          <wp:inline distT="0" distB="0" distL="0" distR="0">
            <wp:extent cx="4104640" cy="3241040"/>
            <wp:effectExtent l="19050" t="0" r="0" b="0"/>
            <wp:docPr id="11"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true" noChangeArrowheads="true"/>
                    </pic:cNvPicPr>
                  </pic:nvPicPr>
                  <pic:blipFill>
                    <a:blip r:embed="rId20"/>
                    <a:srcRect/>
                    <a:stretch>
                      <a:fillRect/>
                    </a:stretch>
                  </pic:blipFill>
                  <pic:spPr>
                    <a:xfrm>
                      <a:off x="0" y="0"/>
                      <a:ext cx="4104640" cy="3241040"/>
                    </a:xfrm>
                    <a:prstGeom prst="rect">
                      <a:avLst/>
                    </a:prstGeom>
                    <a:noFill/>
                    <a:ln w="9525">
                      <a:noFill/>
                      <a:miter lim="800000"/>
                      <a:headEnd/>
                      <a:tailEnd/>
                    </a:ln>
                  </pic:spPr>
                </pic:pic>
              </a:graphicData>
            </a:graphic>
          </wp:inline>
        </w:drawing>
      </w:r>
    </w:p>
    <w:p>
      <w:pPr>
        <w:spacing w:line="360" w:lineRule="auto"/>
        <w:ind w:firstLine="480" w:firstLineChars="200"/>
        <w:rPr>
          <w:rFonts w:ascii="Arial" w:hAnsi="Arial" w:cs="Arial"/>
          <w:szCs w:val="21"/>
        </w:rPr>
      </w:pPr>
      <w:r>
        <w:rPr>
          <w:rFonts w:hint="eastAsia" w:ascii="Arial" w:hAnsi="Arial" w:cs="Arial"/>
          <w:sz w:val="24"/>
          <w:szCs w:val="24"/>
        </w:rPr>
        <w:t>2</w:t>
      </w:r>
      <w:r>
        <w:rPr>
          <w:rFonts w:ascii="Arial" w:hAnsi="Arial" w:cs="Arial"/>
          <w:szCs w:val="21"/>
        </w:rPr>
        <w:t xml:space="preserve"> </w:t>
      </w:r>
      <w:r>
        <w:rPr>
          <w:rFonts w:ascii="Arial" w:hAnsi="Arial" w:cs="Arial"/>
          <w:kern w:val="0"/>
          <w:sz w:val="24"/>
          <w:szCs w:val="24"/>
        </w:rPr>
        <w:t>天然地基极限承载力标准值fk采用土的抗剪强度指标计算时，可按照本标准第5.2.3条第1款进行，但在公式（5.2.3-2）和（5.2.3-3）中</w:t>
      </w:r>
      <w:r>
        <w:rPr>
          <w:rFonts w:hint="eastAsia" w:ascii="Arial" w:hAnsi="Arial" w:cs="Arial"/>
          <w:kern w:val="0"/>
          <w:sz w:val="24"/>
          <w:szCs w:val="24"/>
        </w:rPr>
        <w:t>γ</w:t>
      </w:r>
      <w:r>
        <w:rPr>
          <w:rFonts w:hint="eastAsia" w:ascii="Arial" w:hAnsi="Arial" w:cs="Arial"/>
          <w:kern w:val="0"/>
          <w:sz w:val="24"/>
          <w:szCs w:val="24"/>
          <w:vertAlign w:val="subscript"/>
        </w:rPr>
        <w:t>c</w:t>
      </w:r>
      <w:r>
        <w:rPr>
          <w:rFonts w:hint="eastAsia" w:ascii="Arial" w:hAnsi="Arial" w:cs="Arial"/>
          <w:kern w:val="0"/>
          <w:sz w:val="24"/>
          <w:szCs w:val="24"/>
        </w:rPr>
        <w:t>，γ</w:t>
      </w:r>
      <w:r>
        <w:rPr>
          <w:rFonts w:hint="eastAsia" w:ascii="Arial" w:hAnsi="Arial" w:cs="Arial"/>
          <w:kern w:val="0"/>
          <w:sz w:val="24"/>
          <w:szCs w:val="24"/>
          <w:vertAlign w:val="subscript"/>
        </w:rPr>
        <w:t>φ</w:t>
      </w:r>
      <w:r>
        <w:rPr>
          <w:rFonts w:hint="eastAsia" w:ascii="Arial" w:hAnsi="Arial" w:cs="Arial"/>
          <w:kern w:val="0"/>
          <w:sz w:val="24"/>
          <w:szCs w:val="24"/>
        </w:rPr>
        <w:t>均取1.0计算C</w:t>
      </w:r>
      <w:r>
        <w:rPr>
          <w:rFonts w:hint="eastAsia" w:ascii="Arial" w:hAnsi="Arial" w:cs="Arial"/>
          <w:kern w:val="0"/>
          <w:sz w:val="24"/>
          <w:szCs w:val="24"/>
          <w:vertAlign w:val="subscript"/>
        </w:rPr>
        <w:t>d</w:t>
      </w:r>
      <w:r>
        <w:rPr>
          <w:rFonts w:hint="eastAsia" w:ascii="Arial" w:hAnsi="Arial" w:cs="Arial"/>
          <w:kern w:val="0"/>
          <w:sz w:val="24"/>
          <w:szCs w:val="24"/>
        </w:rPr>
        <w:t>，Φ</w:t>
      </w:r>
      <w:r>
        <w:rPr>
          <w:rFonts w:hint="eastAsia" w:ascii="Arial" w:hAnsi="Arial" w:cs="Arial"/>
          <w:kern w:val="0"/>
          <w:sz w:val="24"/>
          <w:szCs w:val="24"/>
          <w:vertAlign w:val="subscript"/>
        </w:rPr>
        <w:t>d</w:t>
      </w:r>
      <w:r>
        <w:rPr>
          <w:rFonts w:hint="eastAsia" w:ascii="Arial" w:hAnsi="Arial" w:cs="Arial"/>
          <w:kern w:val="0"/>
          <w:sz w:val="24"/>
          <w:szCs w:val="24"/>
        </w:rPr>
        <w:t>，并相应查表计算。</w:t>
      </w:r>
    </w:p>
    <w:p>
      <w:pPr>
        <w:spacing w:line="360" w:lineRule="auto"/>
        <w:rPr>
          <w:rFonts w:ascii="Arial" w:hAnsi="Arial" w:cs="Arial"/>
          <w:sz w:val="24"/>
          <w:szCs w:val="24"/>
        </w:rPr>
      </w:pPr>
      <w:r>
        <w:rPr>
          <w:rFonts w:ascii="Arial" w:hAnsi="Arial" w:cs="Arial"/>
          <w:sz w:val="24"/>
          <w:szCs w:val="24"/>
        </w:rPr>
        <w:t>5.2.4 当持力层下存在软弱下卧层，持力层厚度h</w:t>
      </w:r>
      <w:r>
        <w:rPr>
          <w:rFonts w:ascii="Arial" w:hAnsi="Arial" w:cs="Arial"/>
          <w:sz w:val="24"/>
          <w:szCs w:val="24"/>
          <w:vertAlign w:val="subscript"/>
        </w:rPr>
        <w:t>1</w:t>
      </w:r>
      <w:r>
        <w:rPr>
          <w:rFonts w:ascii="Arial" w:hAnsi="Arial" w:cs="Arial"/>
          <w:sz w:val="24"/>
          <w:szCs w:val="24"/>
        </w:rPr>
        <w:t>与基础宽度b之比（h</w:t>
      </w:r>
      <w:r>
        <w:rPr>
          <w:rFonts w:ascii="Arial" w:hAnsi="Arial" w:cs="Arial"/>
          <w:sz w:val="24"/>
          <w:szCs w:val="24"/>
          <w:vertAlign w:val="subscript"/>
        </w:rPr>
        <w:t>1</w:t>
      </w:r>
      <w:r>
        <w:rPr>
          <w:rFonts w:ascii="Arial" w:hAnsi="Arial" w:cs="Arial"/>
          <w:sz w:val="24"/>
          <w:szCs w:val="24"/>
        </w:rPr>
        <w:t>/b）小于等于0.7且大于等于0.25时，需考虑软弱下卧层对持力层地基承载力的影响，可采用双层体系的平均抗剪强度指标设计值按5.2.3条计算地基承载力设计值或极限承载力标准值。</w:t>
      </w:r>
    </w:p>
    <w:p>
      <w:pPr>
        <w:spacing w:line="360" w:lineRule="auto"/>
        <w:ind w:firstLine="480" w:firstLineChars="200"/>
        <w:rPr>
          <w:rFonts w:ascii="Arial" w:hAnsi="Arial" w:cs="Arial"/>
          <w:kern w:val="0"/>
          <w:sz w:val="24"/>
          <w:szCs w:val="24"/>
        </w:rPr>
      </w:pPr>
      <w:r>
        <w:rPr>
          <w:rFonts w:ascii="Arial" w:hAnsi="Arial" w:cs="Arial"/>
          <w:kern w:val="0"/>
          <w:sz w:val="24"/>
          <w:szCs w:val="24"/>
        </w:rPr>
        <w:t>平均抗剪强度指标设计值由公式（5.2.3-2）</w:t>
      </w:r>
      <w:r>
        <w:rPr>
          <w:rFonts w:hint="eastAsia" w:ascii="Arial" w:hAnsi="Arial" w:cs="Arial"/>
          <w:kern w:val="0"/>
          <w:sz w:val="24"/>
          <w:szCs w:val="24"/>
        </w:rPr>
        <w:t>和</w:t>
      </w:r>
      <w:r>
        <w:rPr>
          <w:rFonts w:ascii="Arial" w:hAnsi="Arial" w:cs="Arial"/>
          <w:kern w:val="0"/>
          <w:sz w:val="24"/>
          <w:szCs w:val="24"/>
        </w:rPr>
        <w:t>（5.2.3-3）求得，式中的抗剪强度指标的标准值按下列公式计算：</w:t>
      </w:r>
    </w:p>
    <w:p>
      <w:pPr>
        <w:spacing w:before="156" w:beforeLines="50" w:after="156" w:afterLines="50"/>
        <w:ind w:right="88" w:rightChars="42"/>
        <w:rPr>
          <w:rFonts w:ascii="Arial" w:hAnsi="Arial" w:cs="Arial"/>
          <w:szCs w:val="21"/>
        </w:rPr>
      </w:pPr>
      <w:r>
        <w:rPr>
          <w:rFonts w:ascii="Arial" w:hAnsi="Arial" w:cs="Arial"/>
          <w:szCs w:val="21"/>
        </w:rPr>
        <w:drawing>
          <wp:inline distT="0" distB="0" distL="0" distR="0">
            <wp:extent cx="4160520" cy="325120"/>
            <wp:effectExtent l="19050" t="0" r="0" b="0"/>
            <wp:docPr id="12"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true" noChangeArrowheads="true"/>
                    </pic:cNvPicPr>
                  </pic:nvPicPr>
                  <pic:blipFill>
                    <a:blip r:embed="rId21"/>
                    <a:srcRect/>
                    <a:stretch>
                      <a:fillRect/>
                    </a:stretch>
                  </pic:blipFill>
                  <pic:spPr>
                    <a:xfrm>
                      <a:off x="0" y="0"/>
                      <a:ext cx="4160520" cy="325120"/>
                    </a:xfrm>
                    <a:prstGeom prst="rect">
                      <a:avLst/>
                    </a:prstGeom>
                    <a:noFill/>
                    <a:ln w="9525">
                      <a:noFill/>
                      <a:miter lim="800000"/>
                      <a:headEnd/>
                      <a:tailEnd/>
                    </a:ln>
                  </pic:spPr>
                </pic:pic>
              </a:graphicData>
            </a:graphic>
          </wp:inline>
        </w:drawing>
      </w:r>
    </w:p>
    <w:p>
      <w:pPr>
        <w:spacing w:before="156" w:beforeLines="50" w:after="156" w:afterLines="50"/>
        <w:ind w:right="-50" w:rightChars="-24" w:firstLine="210" w:firstLineChars="100"/>
        <w:rPr>
          <w:rFonts w:ascii="Arial" w:hAnsi="Arial" w:cs="Arial"/>
          <w:szCs w:val="21"/>
        </w:rPr>
      </w:pPr>
      <w:r>
        <w:rPr>
          <w:rFonts w:ascii="Arial" w:hAnsi="Arial" w:cs="Arial"/>
          <w:szCs w:val="21"/>
        </w:rPr>
        <w:drawing>
          <wp:inline distT="0" distB="0" distL="0" distR="0">
            <wp:extent cx="3972560" cy="325120"/>
            <wp:effectExtent l="19050" t="0" r="8890" b="0"/>
            <wp:docPr id="13"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true" noChangeArrowheads="true"/>
                    </pic:cNvPicPr>
                  </pic:nvPicPr>
                  <pic:blipFill>
                    <a:blip r:embed="rId22"/>
                    <a:srcRect/>
                    <a:stretch>
                      <a:fillRect/>
                    </a:stretch>
                  </pic:blipFill>
                  <pic:spPr>
                    <a:xfrm>
                      <a:off x="0" y="0"/>
                      <a:ext cx="3972560" cy="325120"/>
                    </a:xfrm>
                    <a:prstGeom prst="rect">
                      <a:avLst/>
                    </a:prstGeom>
                    <a:noFill/>
                    <a:ln w="9525">
                      <a:noFill/>
                      <a:miter lim="800000"/>
                      <a:headEnd/>
                      <a:tailEnd/>
                    </a:ln>
                  </pic:spPr>
                </pic:pic>
              </a:graphicData>
            </a:graphic>
          </wp:inline>
        </w:drawing>
      </w:r>
    </w:p>
    <w:p>
      <w:pPr>
        <w:spacing w:line="360" w:lineRule="auto"/>
        <w:ind w:firstLine="480" w:firstLineChars="200"/>
        <w:rPr>
          <w:rFonts w:ascii="Arial" w:hAnsi="Arial" w:cs="Arial"/>
          <w:kern w:val="0"/>
          <w:sz w:val="24"/>
          <w:szCs w:val="24"/>
        </w:rPr>
      </w:pPr>
      <w:r>
        <w:rPr>
          <w:rFonts w:ascii="Arial" w:hAnsi="Arial" w:cs="Arial"/>
          <w:kern w:val="0"/>
          <w:sz w:val="24"/>
          <w:szCs w:val="24"/>
        </w:rPr>
        <w:t>式中：c</w:t>
      </w:r>
      <w:r>
        <w:rPr>
          <w:rFonts w:ascii="Arial" w:hAnsi="Arial" w:cs="Arial"/>
          <w:kern w:val="0"/>
          <w:sz w:val="24"/>
          <w:szCs w:val="24"/>
          <w:vertAlign w:val="subscript"/>
        </w:rPr>
        <w:t>1k</w:t>
      </w:r>
      <w:r>
        <w:rPr>
          <w:rFonts w:ascii="Arial" w:hAnsi="Arial" w:cs="Arial"/>
          <w:kern w:val="0"/>
          <w:sz w:val="24"/>
          <w:szCs w:val="24"/>
        </w:rPr>
        <w:t>、c</w:t>
      </w:r>
      <w:r>
        <w:rPr>
          <w:rFonts w:ascii="Arial" w:hAnsi="Arial" w:cs="Arial"/>
          <w:kern w:val="0"/>
          <w:sz w:val="24"/>
          <w:szCs w:val="24"/>
          <w:vertAlign w:val="subscript"/>
        </w:rPr>
        <w:t>2k</w:t>
      </w:r>
      <w:r>
        <w:rPr>
          <w:rFonts w:ascii="Arial" w:hAnsi="Arial" w:cs="Arial"/>
          <w:kern w:val="0"/>
          <w:sz w:val="24"/>
          <w:szCs w:val="24"/>
        </w:rPr>
        <w:t>——分别为持力层和软弱下卧层土的黏聚力标准值（kPa）；</w:t>
      </w:r>
    </w:p>
    <w:p>
      <w:pPr>
        <w:spacing w:line="360" w:lineRule="auto"/>
        <w:ind w:left="1103" w:leftChars="525"/>
        <w:rPr>
          <w:rFonts w:ascii="Arial" w:hAnsi="Arial" w:cs="Arial"/>
          <w:kern w:val="0"/>
          <w:sz w:val="24"/>
          <w:szCs w:val="24"/>
        </w:rPr>
      </w:pPr>
      <w:r>
        <w:rPr>
          <w:rFonts w:ascii="Arial" w:hAnsi="Arial" w:cs="Arial"/>
          <w:kern w:val="0"/>
          <w:sz w:val="24"/>
          <w:szCs w:val="24"/>
        </w:rPr>
        <w:t>φ</w:t>
      </w:r>
      <w:r>
        <w:rPr>
          <w:rFonts w:ascii="Arial" w:hAnsi="Arial" w:cs="Arial"/>
          <w:kern w:val="0"/>
          <w:sz w:val="24"/>
          <w:szCs w:val="24"/>
          <w:vertAlign w:val="subscript"/>
        </w:rPr>
        <w:t>1k</w:t>
      </w:r>
      <w:r>
        <w:rPr>
          <w:rFonts w:ascii="Arial" w:hAnsi="Arial" w:cs="Arial"/>
          <w:kern w:val="0"/>
          <w:sz w:val="24"/>
          <w:szCs w:val="24"/>
        </w:rPr>
        <w:t>、φ</w:t>
      </w:r>
      <w:r>
        <w:rPr>
          <w:rFonts w:ascii="Arial" w:hAnsi="Arial" w:cs="Arial"/>
          <w:kern w:val="0"/>
          <w:sz w:val="24"/>
          <w:szCs w:val="24"/>
          <w:vertAlign w:val="subscript"/>
        </w:rPr>
        <w:t>2k</w:t>
      </w:r>
      <w:r>
        <w:rPr>
          <w:rFonts w:ascii="Arial" w:hAnsi="Arial" w:cs="Arial"/>
          <w:kern w:val="0"/>
          <w:sz w:val="24"/>
          <w:szCs w:val="24"/>
        </w:rPr>
        <w:t>——分别为持力层和软弱下卧层土的内摩擦角标准值（º），当φ</w:t>
      </w:r>
      <w:r>
        <w:rPr>
          <w:rFonts w:ascii="Arial" w:hAnsi="Arial" w:cs="Arial"/>
          <w:kern w:val="0"/>
          <w:sz w:val="24"/>
          <w:szCs w:val="24"/>
          <w:vertAlign w:val="subscript"/>
        </w:rPr>
        <w:t>1k</w:t>
      </w:r>
      <w:r>
        <w:rPr>
          <w:rFonts w:ascii="Arial" w:hAnsi="Arial" w:cs="Arial"/>
          <w:kern w:val="0"/>
          <w:sz w:val="24"/>
          <w:szCs w:val="24"/>
        </w:rPr>
        <w:t>＜φ</w:t>
      </w:r>
      <w:r>
        <w:rPr>
          <w:rFonts w:ascii="Arial" w:hAnsi="Arial" w:cs="Arial"/>
          <w:kern w:val="0"/>
          <w:sz w:val="24"/>
          <w:szCs w:val="24"/>
          <w:vertAlign w:val="subscript"/>
        </w:rPr>
        <w:t>2k</w:t>
      </w:r>
      <w:r>
        <w:rPr>
          <w:rFonts w:ascii="Arial" w:hAnsi="Arial" w:cs="Arial"/>
          <w:kern w:val="0"/>
          <w:sz w:val="24"/>
          <w:szCs w:val="24"/>
        </w:rPr>
        <w:t>时，取φ</w:t>
      </w:r>
      <w:r>
        <w:rPr>
          <w:rFonts w:ascii="Arial" w:hAnsi="Arial" w:cs="Arial"/>
          <w:kern w:val="0"/>
          <w:sz w:val="24"/>
          <w:szCs w:val="24"/>
          <w:vertAlign w:val="subscript"/>
        </w:rPr>
        <w:t>k</w:t>
      </w:r>
      <w:r>
        <w:rPr>
          <w:rFonts w:ascii="Arial" w:hAnsi="Arial" w:cs="Arial"/>
          <w:kern w:val="0"/>
          <w:sz w:val="24"/>
          <w:szCs w:val="24"/>
        </w:rPr>
        <w:t>=φ</w:t>
      </w:r>
      <w:r>
        <w:rPr>
          <w:rFonts w:ascii="Arial" w:hAnsi="Arial" w:cs="Arial"/>
          <w:kern w:val="0"/>
          <w:sz w:val="24"/>
          <w:szCs w:val="24"/>
          <w:vertAlign w:val="subscript"/>
        </w:rPr>
        <w:t>1k</w:t>
      </w:r>
      <w:r>
        <w:rPr>
          <w:rFonts w:ascii="Arial" w:hAnsi="Arial" w:cs="Arial"/>
          <w:kern w:val="0"/>
          <w:sz w:val="24"/>
          <w:szCs w:val="24"/>
        </w:rPr>
        <w:t>。</w:t>
      </w:r>
    </w:p>
    <w:p>
      <w:pPr>
        <w:spacing w:line="360" w:lineRule="auto"/>
        <w:ind w:left="1103" w:leftChars="525"/>
        <w:rPr>
          <w:rFonts w:ascii="Arial" w:hAnsi="Arial" w:cs="Arial"/>
          <w:kern w:val="0"/>
          <w:sz w:val="24"/>
          <w:szCs w:val="24"/>
        </w:rPr>
      </w:pPr>
      <w:r>
        <w:rPr>
          <w:rFonts w:ascii="Arial" w:hAnsi="Arial" w:cs="Arial"/>
          <w:kern w:val="0"/>
          <w:sz w:val="24"/>
          <w:szCs w:val="24"/>
        </w:rPr>
        <w:t>h</w:t>
      </w:r>
      <w:r>
        <w:rPr>
          <w:rFonts w:ascii="Arial" w:hAnsi="Arial" w:cs="Arial"/>
          <w:kern w:val="0"/>
          <w:sz w:val="24"/>
          <w:szCs w:val="24"/>
          <w:vertAlign w:val="subscript"/>
        </w:rPr>
        <w:t>1</w:t>
      </w:r>
      <w:r>
        <w:rPr>
          <w:rFonts w:ascii="Arial" w:hAnsi="Arial" w:cs="Arial"/>
          <w:kern w:val="0"/>
          <w:sz w:val="24"/>
          <w:szCs w:val="24"/>
        </w:rPr>
        <w:t>/b &gt; 0.7时不计下卧层影响，按持力层指标计算地基承载力；</w:t>
      </w:r>
    </w:p>
    <w:p>
      <w:pPr>
        <w:spacing w:line="360" w:lineRule="auto"/>
        <w:ind w:left="1103" w:leftChars="525"/>
        <w:rPr>
          <w:rFonts w:ascii="Arial" w:hAnsi="Arial" w:cs="Arial"/>
          <w:kern w:val="0"/>
          <w:sz w:val="24"/>
          <w:szCs w:val="24"/>
        </w:rPr>
      </w:pPr>
      <w:r>
        <w:rPr>
          <w:rFonts w:ascii="Arial" w:hAnsi="Arial" w:cs="Arial"/>
          <w:kern w:val="0"/>
          <w:sz w:val="24"/>
          <w:szCs w:val="24"/>
        </w:rPr>
        <w:t>h</w:t>
      </w:r>
      <w:r>
        <w:rPr>
          <w:rFonts w:ascii="Arial" w:hAnsi="Arial" w:cs="Arial"/>
          <w:kern w:val="0"/>
          <w:sz w:val="24"/>
          <w:szCs w:val="24"/>
          <w:vertAlign w:val="subscript"/>
        </w:rPr>
        <w:t>1</w:t>
      </w:r>
      <w:r>
        <w:rPr>
          <w:rFonts w:ascii="Arial" w:hAnsi="Arial" w:cs="Arial"/>
          <w:kern w:val="0"/>
          <w:sz w:val="24"/>
          <w:szCs w:val="24"/>
        </w:rPr>
        <w:t>/b &lt; 0.25时不计持力层影响，按下卧层指标计算地基承载力，计算时采用实际基础的埋置深度。</w:t>
      </w:r>
    </w:p>
    <w:p>
      <w:pPr>
        <w:spacing w:line="360" w:lineRule="auto"/>
        <w:rPr>
          <w:rFonts w:ascii="Arial" w:hAnsi="Arial" w:cs="Arial"/>
          <w:sz w:val="24"/>
          <w:szCs w:val="24"/>
        </w:rPr>
      </w:pPr>
      <w:r>
        <w:rPr>
          <w:rFonts w:hint="eastAsia" w:ascii="Arial" w:hAnsi="Arial" w:cs="Arial"/>
          <w:sz w:val="24"/>
          <w:szCs w:val="24"/>
        </w:rPr>
        <w:t>5.3.6</w:t>
      </w:r>
      <w:r>
        <w:rPr>
          <w:rFonts w:ascii="Arial" w:hAnsi="Arial" w:cs="Arial"/>
          <w:sz w:val="24"/>
          <w:szCs w:val="24"/>
        </w:rPr>
        <w:t xml:space="preserve"> </w:t>
      </w:r>
      <w:r>
        <w:rPr>
          <w:rFonts w:hint="eastAsia" w:ascii="Arial" w:hAnsi="Arial" w:cs="Arial"/>
          <w:sz w:val="24"/>
          <w:szCs w:val="24"/>
        </w:rPr>
        <w:t>建筑物基础中心计算沉降量应小于地基容许变形值。相对变形值宜通过满足基础中心计算容许沉降量并采用本标准第14章的有关措施予以控制。地基容许变形值应根据建筑结构和基础类型及使用要求，按表5.3.6取用，对于住宅建筑其容许变形值尚应符合现行上海市工程建设规范《住宅设计标准》DGJ08-20的有关规定。</w:t>
      </w:r>
    </w:p>
    <w:p>
      <w:pPr>
        <w:spacing w:line="360" w:lineRule="auto"/>
        <w:ind w:firstLine="360" w:firstLineChars="200"/>
        <w:rPr>
          <w:rFonts w:ascii="Arial" w:hAnsi="Arial" w:cs="Arial"/>
          <w:sz w:val="18"/>
          <w:szCs w:val="18"/>
        </w:rPr>
      </w:pPr>
      <w:r>
        <w:rPr>
          <w:rFonts w:hint="eastAsia" w:ascii="Arial" w:hAnsi="Arial" w:cs="Arial"/>
          <w:sz w:val="18"/>
          <w:szCs w:val="18"/>
        </w:rPr>
        <w:t>注：相对变形值系指倾斜、局部倾斜和相对弯曲；倾斜等于基础在倾斜方向上两端点的沉降差与其距离之比；局部倾斜等于砌体承重结构沿纵向6m～10m内基础两点的沉降差与其距离之比；相对弯曲等于基础弯曲部分矢高与长度之比。</w:t>
      </w:r>
    </w:p>
    <w:p>
      <w:pPr>
        <w:spacing w:line="360" w:lineRule="auto"/>
        <w:jc w:val="center"/>
        <w:rPr>
          <w:rFonts w:ascii="Arial" w:hAnsi="Arial" w:cs="Arial"/>
          <w:sz w:val="24"/>
          <w:szCs w:val="24"/>
        </w:rPr>
      </w:pPr>
      <w:r>
        <w:drawing>
          <wp:inline distT="0" distB="0" distL="114300" distR="114300">
            <wp:extent cx="4604385" cy="5889625"/>
            <wp:effectExtent l="0" t="0" r="5715" b="3175"/>
            <wp:docPr id="73"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3" name="图片 9"/>
                    <pic:cNvPicPr>
                      <a:picLocks noChangeAspect="true"/>
                    </pic:cNvPicPr>
                  </pic:nvPicPr>
                  <pic:blipFill>
                    <a:blip r:embed="rId23"/>
                    <a:stretch>
                      <a:fillRect/>
                    </a:stretch>
                  </pic:blipFill>
                  <pic:spPr>
                    <a:xfrm>
                      <a:off x="0" y="0"/>
                      <a:ext cx="4604385" cy="5889625"/>
                    </a:xfrm>
                    <a:prstGeom prst="rect">
                      <a:avLst/>
                    </a:prstGeom>
                    <a:noFill/>
                    <a:ln>
                      <a:noFill/>
                    </a:ln>
                  </pic:spPr>
                </pic:pic>
              </a:graphicData>
            </a:graphic>
          </wp:inline>
        </w:drawing>
      </w:r>
    </w:p>
    <w:p>
      <w:pPr>
        <w:spacing w:line="360" w:lineRule="auto"/>
        <w:rPr>
          <w:rFonts w:ascii="Arial" w:hAnsi="Arial" w:cs="Arial"/>
          <w:sz w:val="24"/>
          <w:szCs w:val="24"/>
        </w:rPr>
      </w:pPr>
      <w:r>
        <w:rPr>
          <w:rFonts w:ascii="Arial" w:hAnsi="Arial" w:cs="Arial"/>
          <w:sz w:val="24"/>
          <w:szCs w:val="24"/>
        </w:rPr>
        <w:t>6.2.2 在满足地基承载力、稳定和变形条件下，基础宜浅埋并结合工程实际条件合确定埋置深度</w:t>
      </w:r>
      <w:r>
        <w:rPr>
          <w:rFonts w:hint="eastAsia" w:ascii="Arial" w:hAnsi="Arial" w:cs="Arial"/>
          <w:sz w:val="24"/>
          <w:szCs w:val="24"/>
        </w:rPr>
        <w:t>。</w:t>
      </w:r>
      <w:r>
        <w:rPr>
          <w:rFonts w:ascii="Arial" w:hAnsi="Arial" w:cs="Arial"/>
          <w:sz w:val="24"/>
          <w:szCs w:val="24"/>
        </w:rPr>
        <w:t>基础埋置深度不宜小于0.5m；单层厂房设有吊车时，不宜小于0.8m。基础埋置深度不宜小于建筑物高度的1/15。基底有较大水平力时，基础埋置深度应适当加大。基底应进入地基持力层深度不小于150mm。</w:t>
      </w:r>
    </w:p>
    <w:p>
      <w:pPr>
        <w:spacing w:line="360" w:lineRule="auto"/>
        <w:rPr>
          <w:rFonts w:ascii="Arial" w:hAnsi="Arial" w:cs="Arial"/>
          <w:sz w:val="24"/>
          <w:szCs w:val="24"/>
        </w:rPr>
      </w:pPr>
      <w:r>
        <w:rPr>
          <w:rFonts w:hint="eastAsia" w:ascii="Arial" w:hAnsi="Arial" w:cs="Arial"/>
          <w:sz w:val="24"/>
          <w:szCs w:val="24"/>
        </w:rPr>
        <w:t>6.4.5</w:t>
      </w:r>
      <w:r>
        <w:rPr>
          <w:rFonts w:ascii="Arial" w:hAnsi="Arial" w:cs="Arial"/>
          <w:sz w:val="24"/>
          <w:szCs w:val="24"/>
        </w:rPr>
        <w:t xml:space="preserve"> 基础变</w:t>
      </w:r>
      <w:r>
        <w:rPr>
          <w:rFonts w:hint="eastAsia" w:ascii="Arial" w:hAnsi="Arial" w:cs="Arial"/>
          <w:sz w:val="24"/>
          <w:szCs w:val="24"/>
        </w:rPr>
        <w:t>阶处和柱与基础交界处的基础厚度以及预制柱安装时杯形基础杯底厚度应按现行国家标准《混凝土结构设计规范》GB50010进行抗冲切验算和抗剪验算，并符合有关标准的构造要求。</w:t>
      </w:r>
    </w:p>
    <w:p>
      <w:pPr>
        <w:spacing w:line="360" w:lineRule="auto"/>
        <w:rPr>
          <w:rFonts w:ascii="Arial" w:hAnsi="Arial" w:cs="Arial"/>
          <w:sz w:val="24"/>
          <w:szCs w:val="24"/>
        </w:rPr>
      </w:pPr>
      <w:r>
        <w:rPr>
          <w:rFonts w:ascii="Arial" w:hAnsi="Arial" w:cs="Arial"/>
          <w:sz w:val="24"/>
          <w:szCs w:val="24"/>
        </w:rPr>
        <w:t>6.4.6 基础底板的配筋，应按抗弯计算确定。在轴心荷载或单向偏心荷载作用下，基础底板受弯可简化为悬臂受弯构件计算（图6.4.6）。</w:t>
      </w:r>
    </w:p>
    <w:p>
      <w:pPr>
        <w:spacing w:line="360" w:lineRule="auto"/>
        <w:ind w:firstLine="480" w:firstLineChars="200"/>
        <w:rPr>
          <w:rFonts w:ascii="Arial" w:hAnsi="Arial" w:cs="Arial"/>
          <w:kern w:val="0"/>
          <w:sz w:val="24"/>
          <w:szCs w:val="24"/>
        </w:rPr>
      </w:pPr>
      <w:r>
        <w:rPr>
          <w:rFonts w:ascii="Arial" w:hAnsi="Arial" w:cs="Arial"/>
          <w:kern w:val="0"/>
          <w:sz w:val="24"/>
          <w:szCs w:val="24"/>
        </w:rPr>
        <w:t>1 矩形基础，当台阶的宽高比小于等于2.5和偏心距小于等于1/6倍基础宽度时，如图6.4.6所示的任意截面的弯矩可按以下简化公式计算：</w:t>
      </w:r>
    </w:p>
    <w:p>
      <w:pPr>
        <w:spacing w:before="156" w:beforeLines="50" w:after="156" w:afterLines="50"/>
        <w:ind w:right="88" w:rightChars="42"/>
        <w:jc w:val="center"/>
        <w:rPr>
          <w:rFonts w:ascii="Arial" w:hAnsi="Arial" w:cs="Arial"/>
          <w:szCs w:val="21"/>
        </w:rPr>
      </w:pPr>
      <w:r>
        <w:rPr>
          <w:rFonts w:ascii="Arial" w:hAnsi="Arial" w:cs="Arial"/>
          <w:szCs w:val="21"/>
        </w:rPr>
        <w:drawing>
          <wp:inline distT="0" distB="0" distL="0" distR="0">
            <wp:extent cx="3820160" cy="264160"/>
            <wp:effectExtent l="19050" t="0" r="8890" b="0"/>
            <wp:docPr id="1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true" noChangeArrowheads="true"/>
                    </pic:cNvPicPr>
                  </pic:nvPicPr>
                  <pic:blipFill>
                    <a:blip r:embed="rId24"/>
                    <a:srcRect/>
                    <a:stretch>
                      <a:fillRect/>
                    </a:stretch>
                  </pic:blipFill>
                  <pic:spPr>
                    <a:xfrm>
                      <a:off x="0" y="0"/>
                      <a:ext cx="3820160" cy="264160"/>
                    </a:xfrm>
                    <a:prstGeom prst="rect">
                      <a:avLst/>
                    </a:prstGeom>
                    <a:noFill/>
                    <a:ln w="9525">
                      <a:noFill/>
                      <a:miter lim="800000"/>
                      <a:headEnd/>
                      <a:tailEnd/>
                    </a:ln>
                  </pic:spPr>
                </pic:pic>
              </a:graphicData>
            </a:graphic>
          </wp:inline>
        </w:drawing>
      </w:r>
    </w:p>
    <w:p>
      <w:pPr>
        <w:spacing w:before="156" w:beforeLines="50" w:after="156" w:afterLines="50"/>
        <w:ind w:right="420" w:rightChars="200" w:firstLine="420" w:firstLineChars="200"/>
        <w:rPr>
          <w:rFonts w:ascii="Arial" w:hAnsi="Arial" w:cs="Arial"/>
          <w:szCs w:val="21"/>
        </w:rPr>
      </w:pPr>
      <w:r>
        <w:rPr>
          <w:rFonts w:ascii="Arial" w:hAnsi="Arial" w:cs="Arial"/>
          <w:szCs w:val="21"/>
        </w:rPr>
        <w:drawing>
          <wp:inline distT="0" distB="0" distL="0" distR="0">
            <wp:extent cx="3799840" cy="284480"/>
            <wp:effectExtent l="19050" t="0" r="0" b="0"/>
            <wp:docPr id="15"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true" noChangeArrowheads="true"/>
                    </pic:cNvPicPr>
                  </pic:nvPicPr>
                  <pic:blipFill>
                    <a:blip r:embed="rId25"/>
                    <a:srcRect/>
                    <a:stretch>
                      <a:fillRect/>
                    </a:stretch>
                  </pic:blipFill>
                  <pic:spPr>
                    <a:xfrm>
                      <a:off x="0" y="0"/>
                      <a:ext cx="3799840" cy="284480"/>
                    </a:xfrm>
                    <a:prstGeom prst="rect">
                      <a:avLst/>
                    </a:prstGeom>
                    <a:noFill/>
                    <a:ln w="9525">
                      <a:noFill/>
                      <a:miter lim="800000"/>
                      <a:headEnd/>
                      <a:tailEnd/>
                    </a:ln>
                  </pic:spPr>
                </pic:pic>
              </a:graphicData>
            </a:graphic>
          </wp:inline>
        </w:drawing>
      </w:r>
    </w:p>
    <w:p>
      <w:pPr>
        <w:spacing w:line="360" w:lineRule="auto"/>
        <w:ind w:left="1144" w:leftChars="202" w:hanging="720" w:hangingChars="300"/>
        <w:rPr>
          <w:rFonts w:ascii="Arial" w:hAnsi="Arial" w:cs="Arial"/>
          <w:kern w:val="0"/>
          <w:sz w:val="24"/>
          <w:szCs w:val="24"/>
        </w:rPr>
      </w:pPr>
      <w:r>
        <w:rPr>
          <w:rFonts w:ascii="Arial" w:hAnsi="Arial" w:cs="Arial"/>
          <w:kern w:val="0"/>
          <w:sz w:val="24"/>
          <w:szCs w:val="24"/>
        </w:rPr>
        <w:t>式中：M</w:t>
      </w:r>
      <w:r>
        <w:rPr>
          <w:rFonts w:hint="eastAsia" w:ascii="宋体" w:hAnsi="宋体" w:cs="宋体"/>
          <w:kern w:val="0"/>
          <w:sz w:val="24"/>
          <w:szCs w:val="24"/>
          <w:vertAlign w:val="subscript"/>
        </w:rPr>
        <w:t>Ⅰ</w:t>
      </w:r>
      <w:r>
        <w:rPr>
          <w:rFonts w:ascii="Arial" w:hAnsi="Arial" w:cs="Arial"/>
          <w:kern w:val="0"/>
          <w:sz w:val="24"/>
          <w:szCs w:val="24"/>
        </w:rPr>
        <w:t>、M</w:t>
      </w:r>
      <w:r>
        <w:rPr>
          <w:rFonts w:hint="eastAsia" w:ascii="宋体" w:hAnsi="宋体" w:cs="宋体"/>
          <w:kern w:val="0"/>
          <w:sz w:val="24"/>
          <w:szCs w:val="24"/>
          <w:vertAlign w:val="subscript"/>
        </w:rPr>
        <w:t>Ⅱ</w:t>
      </w:r>
      <w:r>
        <w:rPr>
          <w:rFonts w:ascii="Arial" w:hAnsi="Arial" w:cs="Arial"/>
          <w:kern w:val="0"/>
          <w:sz w:val="24"/>
          <w:szCs w:val="24"/>
        </w:rPr>
        <w:t>——任意截面</w:t>
      </w:r>
      <w:r>
        <w:rPr>
          <w:rFonts w:hint="eastAsia" w:ascii="宋体" w:hAnsi="宋体" w:cs="宋体"/>
          <w:kern w:val="0"/>
          <w:sz w:val="24"/>
          <w:szCs w:val="24"/>
        </w:rPr>
        <w:t>Ⅰ</w:t>
      </w:r>
      <w:r>
        <w:rPr>
          <w:rFonts w:hint="eastAsia" w:ascii="Arial" w:hAnsi="Arial" w:cs="Arial"/>
          <w:kern w:val="0"/>
          <w:sz w:val="24"/>
          <w:szCs w:val="24"/>
        </w:rPr>
        <w:t>-</w:t>
      </w:r>
      <w:r>
        <w:rPr>
          <w:rFonts w:hint="eastAsia" w:ascii="宋体" w:hAnsi="宋体" w:cs="宋体"/>
          <w:kern w:val="0"/>
          <w:sz w:val="24"/>
          <w:szCs w:val="24"/>
        </w:rPr>
        <w:t>Ⅰ</w:t>
      </w:r>
      <w:r>
        <w:rPr>
          <w:rFonts w:ascii="Arial" w:hAnsi="Arial" w:cs="Arial"/>
          <w:kern w:val="0"/>
          <w:sz w:val="24"/>
          <w:szCs w:val="24"/>
        </w:rPr>
        <w:t>、</w:t>
      </w:r>
      <w:r>
        <w:rPr>
          <w:rFonts w:hint="eastAsia" w:ascii="宋体" w:hAnsi="宋体" w:cs="宋体"/>
          <w:kern w:val="0"/>
          <w:sz w:val="24"/>
          <w:szCs w:val="24"/>
        </w:rPr>
        <w:t>Ⅱ</w:t>
      </w:r>
      <w:r>
        <w:rPr>
          <w:rFonts w:ascii="Arial" w:hAnsi="Arial" w:cs="Arial"/>
          <w:kern w:val="0"/>
          <w:sz w:val="24"/>
          <w:szCs w:val="24"/>
        </w:rPr>
        <w:t>-</w:t>
      </w:r>
      <w:r>
        <w:rPr>
          <w:rFonts w:hint="eastAsia" w:ascii="宋体" w:hAnsi="宋体" w:cs="宋体"/>
          <w:kern w:val="0"/>
          <w:sz w:val="24"/>
          <w:szCs w:val="24"/>
        </w:rPr>
        <w:t>Ⅱ</w:t>
      </w:r>
      <w:r>
        <w:rPr>
          <w:rFonts w:ascii="Arial" w:hAnsi="Arial" w:cs="Arial"/>
          <w:kern w:val="0"/>
          <w:sz w:val="24"/>
          <w:szCs w:val="24"/>
        </w:rPr>
        <w:t>处相应于作用效应基本组合时的弯矩设计值；</w:t>
      </w:r>
    </w:p>
    <w:p>
      <w:pPr>
        <w:spacing w:line="360" w:lineRule="auto"/>
        <w:ind w:left="420" w:leftChars="200" w:firstLine="720" w:firstLineChars="300"/>
        <w:rPr>
          <w:rFonts w:ascii="Arial" w:hAnsi="Arial" w:cs="Arial"/>
          <w:kern w:val="0"/>
          <w:sz w:val="24"/>
          <w:szCs w:val="24"/>
        </w:rPr>
      </w:pPr>
      <w:r>
        <w:rPr>
          <w:rFonts w:ascii="Arial" w:hAnsi="Arial" w:cs="Arial"/>
          <w:kern w:val="0"/>
          <w:sz w:val="24"/>
          <w:szCs w:val="24"/>
        </w:rPr>
        <w:t>a</w:t>
      </w:r>
      <w:r>
        <w:rPr>
          <w:rFonts w:ascii="Arial" w:hAnsi="Arial" w:cs="Arial"/>
          <w:kern w:val="0"/>
          <w:sz w:val="24"/>
          <w:szCs w:val="24"/>
          <w:vertAlign w:val="subscript"/>
        </w:rPr>
        <w:t>1</w:t>
      </w:r>
      <w:r>
        <w:rPr>
          <w:rFonts w:ascii="Arial" w:hAnsi="Arial" w:cs="Arial"/>
          <w:kern w:val="0"/>
          <w:sz w:val="24"/>
          <w:szCs w:val="24"/>
        </w:rPr>
        <w:t>——任意截面</w:t>
      </w:r>
      <w:r>
        <w:rPr>
          <w:rFonts w:hint="eastAsia" w:ascii="宋体" w:hAnsi="宋体" w:cs="宋体"/>
          <w:kern w:val="0"/>
          <w:sz w:val="24"/>
          <w:szCs w:val="24"/>
        </w:rPr>
        <w:t>Ⅰ</w:t>
      </w:r>
      <w:r>
        <w:rPr>
          <w:rFonts w:ascii="Arial" w:hAnsi="Arial" w:cs="Arial"/>
          <w:kern w:val="0"/>
          <w:sz w:val="24"/>
          <w:szCs w:val="24"/>
        </w:rPr>
        <w:t>-</w:t>
      </w:r>
      <w:r>
        <w:rPr>
          <w:rFonts w:hint="eastAsia" w:ascii="宋体" w:hAnsi="宋体" w:cs="宋体"/>
          <w:kern w:val="0"/>
          <w:sz w:val="24"/>
          <w:szCs w:val="24"/>
        </w:rPr>
        <w:t>Ⅰ</w:t>
      </w:r>
      <w:r>
        <w:rPr>
          <w:rFonts w:ascii="Arial" w:hAnsi="Arial" w:cs="Arial"/>
          <w:kern w:val="0"/>
          <w:sz w:val="24"/>
          <w:szCs w:val="24"/>
        </w:rPr>
        <w:t>至基底边缘最大反力处的距离；</w:t>
      </w:r>
    </w:p>
    <w:p>
      <w:pPr>
        <w:spacing w:line="360" w:lineRule="auto"/>
        <w:ind w:left="420" w:leftChars="200" w:firstLine="720" w:firstLineChars="300"/>
        <w:rPr>
          <w:rFonts w:ascii="Arial" w:hAnsi="Arial" w:cs="Arial"/>
          <w:kern w:val="0"/>
          <w:sz w:val="24"/>
          <w:szCs w:val="24"/>
        </w:rPr>
      </w:pPr>
      <w:r>
        <w:rPr>
          <w:rFonts w:ascii="Arial" w:hAnsi="Arial" w:cs="Arial"/>
          <w:kern w:val="0"/>
          <w:sz w:val="24"/>
          <w:szCs w:val="24"/>
        </w:rPr>
        <w:t>l、b——基础底面的边长；</w:t>
      </w:r>
    </w:p>
    <w:p>
      <w:pPr>
        <w:spacing w:line="360" w:lineRule="auto"/>
        <w:ind w:left="420" w:leftChars="200" w:firstLine="720" w:firstLineChars="300"/>
        <w:rPr>
          <w:rFonts w:ascii="Arial" w:hAnsi="Arial" w:cs="Arial"/>
          <w:kern w:val="0"/>
          <w:sz w:val="24"/>
          <w:szCs w:val="24"/>
        </w:rPr>
      </w:pPr>
      <w:r>
        <w:rPr>
          <w:rFonts w:ascii="Arial" w:hAnsi="Arial" w:cs="Arial"/>
          <w:kern w:val="0"/>
          <w:sz w:val="24"/>
          <w:szCs w:val="24"/>
        </w:rPr>
        <w:t>a、h——柱底面的长度和宽度；</w:t>
      </w:r>
    </w:p>
    <w:p>
      <w:pPr>
        <w:spacing w:line="360" w:lineRule="auto"/>
        <w:ind w:left="420" w:leftChars="200" w:firstLine="720" w:firstLineChars="300"/>
        <w:rPr>
          <w:rFonts w:ascii="Arial" w:hAnsi="Arial" w:cs="Arial"/>
          <w:kern w:val="0"/>
          <w:sz w:val="24"/>
          <w:szCs w:val="24"/>
        </w:rPr>
      </w:pPr>
      <w:r>
        <w:rPr>
          <w:rFonts w:ascii="Arial" w:hAnsi="Arial" w:cs="Arial"/>
          <w:kern w:val="0"/>
          <w:sz w:val="24"/>
          <w:szCs w:val="24"/>
        </w:rPr>
        <w:t>a'、b'——验算截面处基础的长度和宽度；</w:t>
      </w:r>
    </w:p>
    <w:p>
      <w:pPr>
        <w:spacing w:line="360" w:lineRule="auto"/>
        <w:ind w:left="1155" w:leftChars="550"/>
        <w:rPr>
          <w:rFonts w:ascii="Arial" w:hAnsi="Arial" w:cs="Arial"/>
          <w:kern w:val="0"/>
          <w:sz w:val="24"/>
          <w:szCs w:val="24"/>
        </w:rPr>
      </w:pPr>
      <w:r>
        <w:rPr>
          <w:rFonts w:ascii="Arial" w:hAnsi="Arial" w:cs="Arial"/>
          <w:kern w:val="0"/>
          <w:sz w:val="24"/>
          <w:szCs w:val="24"/>
        </w:rPr>
        <w:t>p</w:t>
      </w:r>
      <w:r>
        <w:rPr>
          <w:rFonts w:ascii="Arial" w:hAnsi="Arial" w:cs="Arial"/>
          <w:kern w:val="0"/>
          <w:sz w:val="24"/>
          <w:szCs w:val="24"/>
          <w:vertAlign w:val="subscript"/>
        </w:rPr>
        <w:t>j</w:t>
      </w:r>
      <w:r>
        <w:rPr>
          <w:rFonts w:ascii="Arial" w:hAnsi="Arial" w:cs="Arial"/>
          <w:kern w:val="0"/>
          <w:sz w:val="24"/>
          <w:szCs w:val="24"/>
        </w:rPr>
        <w:t>、p</w:t>
      </w:r>
      <w:r>
        <w:rPr>
          <w:rFonts w:ascii="Arial" w:hAnsi="Arial" w:cs="Arial"/>
          <w:kern w:val="0"/>
          <w:sz w:val="24"/>
          <w:szCs w:val="24"/>
          <w:vertAlign w:val="subscript"/>
        </w:rPr>
        <w:t>jmax</w:t>
      </w:r>
      <w:r>
        <w:rPr>
          <w:rFonts w:ascii="Arial" w:hAnsi="Arial" w:cs="Arial"/>
          <w:kern w:val="0"/>
          <w:sz w:val="24"/>
          <w:szCs w:val="24"/>
        </w:rPr>
        <w:t>、p</w:t>
      </w:r>
      <w:r>
        <w:rPr>
          <w:rFonts w:ascii="Arial" w:hAnsi="Arial" w:cs="Arial"/>
          <w:kern w:val="0"/>
          <w:sz w:val="24"/>
          <w:szCs w:val="24"/>
          <w:vertAlign w:val="subscript"/>
        </w:rPr>
        <w:t>jmin</w:t>
      </w:r>
      <w:r>
        <w:rPr>
          <w:rFonts w:ascii="Arial" w:hAnsi="Arial" w:cs="Arial"/>
          <w:kern w:val="0"/>
          <w:sz w:val="24"/>
          <w:szCs w:val="24"/>
        </w:rPr>
        <w:t>——分别是任意截面</w:t>
      </w:r>
      <w:r>
        <w:rPr>
          <w:rFonts w:hint="eastAsia" w:ascii="宋体" w:hAnsi="宋体" w:cs="宋体"/>
          <w:kern w:val="0"/>
          <w:sz w:val="24"/>
          <w:szCs w:val="24"/>
        </w:rPr>
        <w:t>Ⅰ</w:t>
      </w:r>
      <w:r>
        <w:rPr>
          <w:rFonts w:ascii="Arial" w:hAnsi="Arial" w:cs="Arial"/>
          <w:kern w:val="0"/>
          <w:sz w:val="24"/>
          <w:szCs w:val="24"/>
        </w:rPr>
        <w:t>-</w:t>
      </w:r>
      <w:r>
        <w:rPr>
          <w:rFonts w:hint="eastAsia" w:ascii="宋体" w:hAnsi="宋体" w:cs="宋体"/>
          <w:kern w:val="0"/>
          <w:sz w:val="24"/>
          <w:szCs w:val="24"/>
        </w:rPr>
        <w:t>Ⅰ</w:t>
      </w:r>
      <w:r>
        <w:rPr>
          <w:rFonts w:ascii="Arial" w:hAnsi="Arial" w:cs="Arial"/>
          <w:kern w:val="0"/>
          <w:sz w:val="24"/>
          <w:szCs w:val="24"/>
        </w:rPr>
        <w:t>处基底净反力设计值和基础底面边缘最大和最小地基净反力设计值，应按作用效应基本组合计算，建筑工程也可按分项系数均取1.0的基本组合值的1.35倍近似计算。</w:t>
      </w:r>
    </w:p>
    <w:p>
      <w:pPr>
        <w:spacing w:line="360" w:lineRule="auto"/>
        <w:ind w:firstLine="480" w:firstLineChars="200"/>
        <w:rPr>
          <w:rFonts w:ascii="Arial" w:hAnsi="Arial" w:cs="Arial"/>
          <w:kern w:val="0"/>
          <w:sz w:val="24"/>
          <w:szCs w:val="24"/>
        </w:rPr>
      </w:pPr>
      <w:r>
        <w:rPr>
          <w:rFonts w:ascii="Arial" w:hAnsi="Arial" w:cs="Arial"/>
          <w:kern w:val="0"/>
          <w:sz w:val="24"/>
          <w:szCs w:val="24"/>
        </w:rPr>
        <w:t>2 对于钢柱下的现浇基础，尚应验算地脚螺栓到柱边距离的1/2处截面的弯矩。</w:t>
      </w:r>
    </w:p>
    <w:p>
      <w:pPr>
        <w:spacing w:before="156" w:beforeLines="50" w:after="156" w:afterLines="50"/>
        <w:ind w:right="88" w:rightChars="42"/>
        <w:jc w:val="center"/>
        <w:rPr>
          <w:rFonts w:ascii="Arial" w:hAnsi="Arial" w:cs="Arial"/>
          <w:szCs w:val="21"/>
        </w:rPr>
      </w:pPr>
      <w:r>
        <w:rPr>
          <w:rFonts w:ascii="Arial" w:hAnsi="Arial" w:cs="Arial"/>
          <w:szCs w:val="21"/>
        </w:rPr>
        <w:drawing>
          <wp:inline distT="0" distB="0" distL="0" distR="0">
            <wp:extent cx="3850640" cy="2524760"/>
            <wp:effectExtent l="19050" t="0" r="0" b="0"/>
            <wp:docPr id="16"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true" noChangeArrowheads="true"/>
                    </pic:cNvPicPr>
                  </pic:nvPicPr>
                  <pic:blipFill>
                    <a:blip r:embed="rId26"/>
                    <a:srcRect/>
                    <a:stretch>
                      <a:fillRect/>
                    </a:stretch>
                  </pic:blipFill>
                  <pic:spPr>
                    <a:xfrm>
                      <a:off x="0" y="0"/>
                      <a:ext cx="3850640" cy="2524760"/>
                    </a:xfrm>
                    <a:prstGeom prst="rect">
                      <a:avLst/>
                    </a:prstGeom>
                    <a:noFill/>
                    <a:ln w="9525">
                      <a:noFill/>
                      <a:miter lim="800000"/>
                      <a:headEnd/>
                      <a:tailEnd/>
                    </a:ln>
                  </pic:spPr>
                </pic:pic>
              </a:graphicData>
            </a:graphic>
          </wp:inline>
        </w:drawing>
      </w:r>
    </w:p>
    <w:p>
      <w:pPr>
        <w:spacing w:line="360" w:lineRule="auto"/>
        <w:rPr>
          <w:rFonts w:ascii="Arial" w:hAnsi="Arial" w:cs="Arial"/>
          <w:sz w:val="24"/>
          <w:szCs w:val="24"/>
        </w:rPr>
      </w:pPr>
      <w:r>
        <w:rPr>
          <w:rFonts w:ascii="Arial" w:hAnsi="Arial" w:cs="Arial"/>
          <w:sz w:val="24"/>
          <w:szCs w:val="24"/>
        </w:rPr>
        <w:t>6.5.3 柱下条形基础梁的构造应符合下列要求：</w:t>
      </w:r>
    </w:p>
    <w:p>
      <w:pPr>
        <w:spacing w:line="360" w:lineRule="auto"/>
        <w:ind w:firstLine="480" w:firstLineChars="200"/>
        <w:rPr>
          <w:rFonts w:ascii="Arial" w:hAnsi="Arial" w:cs="Arial"/>
          <w:kern w:val="0"/>
          <w:sz w:val="24"/>
          <w:szCs w:val="24"/>
        </w:rPr>
      </w:pPr>
      <w:r>
        <w:rPr>
          <w:rFonts w:ascii="Arial" w:hAnsi="Arial" w:cs="Arial"/>
          <w:kern w:val="0"/>
          <w:sz w:val="24"/>
          <w:szCs w:val="24"/>
        </w:rPr>
        <w:t>4 基础梁顶面和底面配筋除应满足计算要求外，顶部钢筋应按计算配筋全部贯通，底部通长钢筋的面积不应少于底部受力钢筋总面积的1/3。</w:t>
      </w:r>
    </w:p>
    <w:p>
      <w:pPr>
        <w:spacing w:line="360" w:lineRule="auto"/>
        <w:rPr>
          <w:rFonts w:ascii="Arial" w:hAnsi="Arial" w:cs="Arial"/>
          <w:sz w:val="24"/>
          <w:szCs w:val="24"/>
        </w:rPr>
      </w:pPr>
      <w:r>
        <w:rPr>
          <w:rFonts w:ascii="Arial" w:hAnsi="Arial" w:cs="Arial"/>
          <w:sz w:val="24"/>
          <w:szCs w:val="24"/>
        </w:rPr>
        <w:t>6.6.2 梁板式筏板基础梁的内力计算可按</w:t>
      </w:r>
      <w:r>
        <w:rPr>
          <w:rFonts w:hint="eastAsia" w:ascii="Arial" w:hAnsi="Arial" w:cs="Arial"/>
          <w:sz w:val="24"/>
          <w:szCs w:val="24"/>
        </w:rPr>
        <w:t>本标准第</w:t>
      </w:r>
      <w:r>
        <w:rPr>
          <w:rFonts w:ascii="Arial" w:hAnsi="Arial" w:cs="Arial"/>
          <w:sz w:val="24"/>
          <w:szCs w:val="24"/>
        </w:rPr>
        <w:t>6.5.6条进行。按基底反力直线分布计算的梁板式筏形基础梁的内力可按连续梁分析，边跨跨中以及第一内支座的弯矩宜乘以1.2的系数，基础梁的配筋可按</w:t>
      </w:r>
      <w:r>
        <w:rPr>
          <w:rFonts w:hint="eastAsia" w:ascii="Arial" w:hAnsi="Arial" w:cs="Arial"/>
          <w:sz w:val="24"/>
          <w:szCs w:val="24"/>
        </w:rPr>
        <w:t>本标准第</w:t>
      </w:r>
      <w:r>
        <w:rPr>
          <w:rFonts w:ascii="Arial" w:hAnsi="Arial" w:cs="Arial"/>
          <w:sz w:val="24"/>
          <w:szCs w:val="24"/>
        </w:rPr>
        <w:t>6.5.3条第4款进行。其底板的配筋除满足计算要求外，纵、横方向的底部钢筋应有1/3~1/2贯通，且其配筋率不应小于0.15%；顶部钢筋</w:t>
      </w:r>
      <w:r>
        <w:rPr>
          <w:rFonts w:hint="eastAsia" w:ascii="Arial" w:hAnsi="Arial" w:cs="Arial"/>
          <w:sz w:val="24"/>
          <w:szCs w:val="24"/>
        </w:rPr>
        <w:t>应</w:t>
      </w:r>
      <w:r>
        <w:rPr>
          <w:rFonts w:ascii="Arial" w:hAnsi="Arial" w:cs="Arial"/>
          <w:sz w:val="24"/>
          <w:szCs w:val="24"/>
        </w:rPr>
        <w:t>按计算配筋全部贯通。分布钢筋直径不宜小于10mm，间距不应大于200mm。</w:t>
      </w:r>
    </w:p>
    <w:p>
      <w:pPr>
        <w:spacing w:line="360" w:lineRule="auto"/>
        <w:rPr>
          <w:rFonts w:ascii="Arial" w:hAnsi="Arial" w:cs="Arial"/>
          <w:sz w:val="24"/>
          <w:szCs w:val="24"/>
        </w:rPr>
      </w:pPr>
      <w:r>
        <w:rPr>
          <w:rFonts w:ascii="Arial" w:hAnsi="Arial" w:cs="Arial"/>
          <w:sz w:val="24"/>
          <w:szCs w:val="24"/>
        </w:rPr>
        <w:t>6.6.3 按基底反力直线分布计算的平板式筏形基础，柱下板带和跨中板带的底部钢筋应有1/3~1/2贯通，且其配筋率不应小于0.15%。</w:t>
      </w:r>
    </w:p>
    <w:p>
      <w:pPr>
        <w:spacing w:line="360" w:lineRule="auto"/>
        <w:rPr>
          <w:rFonts w:ascii="Arial" w:hAnsi="Arial" w:cs="Arial"/>
          <w:sz w:val="24"/>
          <w:szCs w:val="24"/>
        </w:rPr>
      </w:pPr>
      <w:r>
        <w:rPr>
          <w:rFonts w:ascii="Arial" w:hAnsi="Arial" w:cs="Arial"/>
          <w:sz w:val="24"/>
          <w:szCs w:val="24"/>
        </w:rPr>
        <w:t>6.6.5 有防水要求的筏形基础应采用防水混凝土并符合现行国家标准《地下工程防水技术规范》GB50108要求，抗渗等级不应小于P6。</w:t>
      </w:r>
    </w:p>
    <w:p>
      <w:pPr>
        <w:spacing w:line="360" w:lineRule="auto"/>
        <w:rPr>
          <w:rFonts w:ascii="Arial" w:hAnsi="Arial" w:cs="Arial"/>
          <w:sz w:val="24"/>
          <w:szCs w:val="24"/>
        </w:rPr>
      </w:pPr>
      <w:r>
        <w:rPr>
          <w:rFonts w:ascii="Arial" w:hAnsi="Arial" w:cs="Arial"/>
          <w:sz w:val="24"/>
          <w:szCs w:val="24"/>
        </w:rPr>
        <w:t>7.1.4 承压桩宜选择压缩性较低的黏性土、粉性土、中密或密实的砂土作为持力层，不应将桩端悬在淤泥质土层中。</w:t>
      </w:r>
    </w:p>
    <w:p>
      <w:pPr>
        <w:spacing w:line="360" w:lineRule="auto"/>
        <w:rPr>
          <w:rFonts w:ascii="Arial" w:hAnsi="Arial" w:cs="Arial"/>
          <w:sz w:val="24"/>
          <w:szCs w:val="24"/>
        </w:rPr>
      </w:pPr>
      <w:r>
        <w:rPr>
          <w:rFonts w:ascii="Arial" w:hAnsi="Arial" w:cs="Arial"/>
          <w:sz w:val="24"/>
          <w:szCs w:val="24"/>
        </w:rPr>
        <w:t>7.1.5 预制桩的桩端全断面进入较厚且液性指数I</w:t>
      </w:r>
      <w:r>
        <w:rPr>
          <w:rFonts w:ascii="Arial" w:hAnsi="Arial" w:cs="Arial"/>
          <w:sz w:val="24"/>
          <w:szCs w:val="24"/>
          <w:vertAlign w:val="subscript"/>
        </w:rPr>
        <w:t>L</w:t>
      </w:r>
      <w:r>
        <w:rPr>
          <w:rFonts w:ascii="Arial" w:hAnsi="Arial" w:cs="Arial"/>
          <w:sz w:val="24"/>
          <w:szCs w:val="24"/>
        </w:rPr>
        <w:t>≤0.5的黏性土层或中密砂土层的深度不应小于0.5m；同时也不宜小于1.5倍~2倍桩的边长（黏性土、粉性土取高值，砂土取低值）。</w:t>
      </w:r>
    </w:p>
    <w:p>
      <w:pPr>
        <w:spacing w:line="360" w:lineRule="auto"/>
        <w:rPr>
          <w:rFonts w:ascii="Arial" w:hAnsi="Arial" w:cs="Arial"/>
          <w:sz w:val="24"/>
          <w:szCs w:val="24"/>
        </w:rPr>
      </w:pPr>
      <w:r>
        <w:rPr>
          <w:rFonts w:ascii="Arial" w:hAnsi="Arial" w:cs="Arial"/>
          <w:sz w:val="24"/>
          <w:szCs w:val="24"/>
        </w:rPr>
        <w:t>7.1.8 桩位布置原则应符合下列要求：</w:t>
      </w:r>
    </w:p>
    <w:p>
      <w:pPr>
        <w:spacing w:line="360" w:lineRule="auto"/>
        <w:ind w:firstLine="480" w:firstLineChars="200"/>
        <w:rPr>
          <w:rFonts w:ascii="Arial" w:hAnsi="Arial" w:cs="Arial"/>
          <w:kern w:val="0"/>
          <w:sz w:val="24"/>
          <w:szCs w:val="24"/>
        </w:rPr>
      </w:pPr>
      <w:r>
        <w:rPr>
          <w:rFonts w:ascii="Arial" w:hAnsi="Arial" w:cs="Arial"/>
          <w:kern w:val="0"/>
          <w:sz w:val="24"/>
          <w:szCs w:val="24"/>
        </w:rPr>
        <w:t>2 群桩中桩的中心距不应小于3d（d为桩的边长或直径），预制桩不宜小于3.5d；扩底抗拔灌注桩中心距不宜小于扩底直径的1.5倍。</w:t>
      </w:r>
    </w:p>
    <w:p>
      <w:pPr>
        <w:spacing w:line="360" w:lineRule="auto"/>
        <w:rPr>
          <w:rFonts w:ascii="Arial" w:hAnsi="Arial" w:cs="Arial"/>
          <w:kern w:val="0"/>
          <w:sz w:val="24"/>
          <w:szCs w:val="24"/>
        </w:rPr>
      </w:pPr>
      <w:r>
        <w:rPr>
          <w:rFonts w:ascii="Arial" w:hAnsi="Arial" w:cs="Arial"/>
          <w:sz w:val="24"/>
          <w:szCs w:val="24"/>
        </w:rPr>
        <w:t>7.1.10 预应力桩作为抗拔桩时，应结合类似工程经验对桩身结构强度、接头部位</w:t>
      </w:r>
      <w:r>
        <w:rPr>
          <w:rFonts w:ascii="Arial" w:hAnsi="Arial" w:cs="Arial"/>
          <w:kern w:val="0"/>
          <w:sz w:val="24"/>
          <w:szCs w:val="24"/>
        </w:rPr>
        <w:t>的端板、桩顶与承台的连接构造等进行验算，并应在施工前进行单桩抗拔静载荷试验为设计提供依据。</w:t>
      </w:r>
    </w:p>
    <w:p>
      <w:pPr>
        <w:spacing w:line="360" w:lineRule="auto"/>
        <w:rPr>
          <w:rFonts w:ascii="Arial" w:hAnsi="Arial" w:cs="Arial"/>
          <w:sz w:val="24"/>
          <w:szCs w:val="24"/>
        </w:rPr>
      </w:pPr>
      <w:r>
        <w:rPr>
          <w:rFonts w:ascii="Arial" w:hAnsi="Arial" w:cs="Arial"/>
          <w:sz w:val="24"/>
          <w:szCs w:val="24"/>
        </w:rPr>
        <w:t>7.1.11 灌注桩的基本尺寸及构造应符合下列要求：</w:t>
      </w:r>
    </w:p>
    <w:p>
      <w:pPr>
        <w:spacing w:line="360" w:lineRule="auto"/>
        <w:ind w:firstLine="480" w:firstLineChars="200"/>
        <w:rPr>
          <w:rFonts w:ascii="Arial" w:hAnsi="Arial" w:cs="Arial"/>
          <w:kern w:val="0"/>
          <w:sz w:val="24"/>
          <w:szCs w:val="24"/>
        </w:rPr>
      </w:pPr>
      <w:r>
        <w:rPr>
          <w:rFonts w:ascii="Arial" w:hAnsi="Arial" w:cs="Arial"/>
          <w:kern w:val="0"/>
          <w:sz w:val="24"/>
          <w:szCs w:val="24"/>
        </w:rPr>
        <w:t>2 桩身混凝土设计强度等级不应低于C30；</w:t>
      </w:r>
    </w:p>
    <w:p>
      <w:pPr>
        <w:spacing w:line="360" w:lineRule="auto"/>
        <w:ind w:firstLine="480" w:firstLineChars="200"/>
        <w:rPr>
          <w:rFonts w:ascii="Arial" w:hAnsi="Arial" w:cs="Arial"/>
          <w:kern w:val="0"/>
          <w:sz w:val="24"/>
          <w:szCs w:val="24"/>
        </w:rPr>
      </w:pPr>
      <w:r>
        <w:rPr>
          <w:rFonts w:ascii="Arial" w:hAnsi="Arial" w:cs="Arial"/>
          <w:kern w:val="0"/>
          <w:sz w:val="24"/>
          <w:szCs w:val="24"/>
        </w:rPr>
        <w:t>3 桩身配筋按计算确定，如为构造配筋，竖向承压桩的配筋率不</w:t>
      </w:r>
      <w:r>
        <w:rPr>
          <w:rFonts w:hint="eastAsia" w:ascii="Arial" w:hAnsi="Arial" w:cs="Arial"/>
          <w:kern w:val="0"/>
          <w:sz w:val="24"/>
          <w:szCs w:val="24"/>
        </w:rPr>
        <w:t>宜</w:t>
      </w:r>
      <w:r>
        <w:rPr>
          <w:rFonts w:ascii="Arial" w:hAnsi="Arial" w:cs="Arial"/>
          <w:kern w:val="0"/>
          <w:sz w:val="24"/>
          <w:szCs w:val="24"/>
        </w:rPr>
        <w:t>小于0.42%，承受水平力桩的配筋率不</w:t>
      </w:r>
      <w:r>
        <w:rPr>
          <w:rFonts w:hint="eastAsia" w:ascii="Arial" w:hAnsi="Arial" w:cs="Arial"/>
          <w:kern w:val="0"/>
          <w:sz w:val="24"/>
          <w:szCs w:val="24"/>
        </w:rPr>
        <w:t>宜</w:t>
      </w:r>
      <w:r>
        <w:rPr>
          <w:rFonts w:ascii="Arial" w:hAnsi="Arial" w:cs="Arial"/>
          <w:kern w:val="0"/>
          <w:sz w:val="24"/>
          <w:szCs w:val="24"/>
        </w:rPr>
        <w:t>小于0.65%。竖向承压桩的钢筋笼长度应穿过淤泥质土层，并不宜小于2/3桩长。承受上拔力桩的钢筋笼宜全长配置。</w:t>
      </w:r>
    </w:p>
    <w:p>
      <w:pPr>
        <w:spacing w:line="360" w:lineRule="auto"/>
        <w:ind w:firstLine="480" w:firstLineChars="200"/>
        <w:rPr>
          <w:rFonts w:ascii="Arial" w:hAnsi="Arial" w:cs="Arial"/>
          <w:kern w:val="0"/>
          <w:sz w:val="24"/>
          <w:szCs w:val="24"/>
        </w:rPr>
      </w:pPr>
      <w:r>
        <w:rPr>
          <w:rFonts w:ascii="Arial" w:hAnsi="Arial" w:cs="Arial"/>
          <w:kern w:val="0"/>
          <w:sz w:val="24"/>
          <w:szCs w:val="24"/>
        </w:rPr>
        <w:t>4 桩顶以下5d范围内箍筋应加密，间距不应大于100mm。</w:t>
      </w:r>
    </w:p>
    <w:p>
      <w:pPr>
        <w:spacing w:line="360" w:lineRule="auto"/>
        <w:rPr>
          <w:rFonts w:ascii="Arial" w:hAnsi="Arial" w:cs="Arial"/>
          <w:sz w:val="24"/>
          <w:szCs w:val="24"/>
        </w:rPr>
      </w:pPr>
      <w:r>
        <w:rPr>
          <w:rFonts w:ascii="Arial" w:hAnsi="Arial" w:cs="Arial"/>
          <w:sz w:val="24"/>
          <w:szCs w:val="24"/>
        </w:rPr>
        <w:t>7.1.13 扩底灌注桩</w:t>
      </w:r>
      <w:r>
        <w:rPr>
          <w:rFonts w:hint="eastAsia" w:ascii="Arial" w:hAnsi="Arial" w:cs="Arial"/>
          <w:sz w:val="24"/>
          <w:szCs w:val="24"/>
        </w:rPr>
        <w:t>应</w:t>
      </w:r>
      <w:r>
        <w:rPr>
          <w:rFonts w:ascii="Arial" w:hAnsi="Arial" w:cs="Arial"/>
          <w:sz w:val="24"/>
          <w:szCs w:val="24"/>
        </w:rPr>
        <w:t>在设计前进行试成桩试验，确定相关施工参数</w:t>
      </w:r>
      <w:r>
        <w:rPr>
          <w:rFonts w:hint="eastAsia" w:ascii="Arial" w:hAnsi="Arial" w:cs="Arial"/>
          <w:sz w:val="24"/>
          <w:szCs w:val="24"/>
        </w:rPr>
        <w:t>和承载力</w:t>
      </w:r>
      <w:r>
        <w:rPr>
          <w:rFonts w:ascii="Arial" w:hAnsi="Arial" w:cs="Arial"/>
          <w:sz w:val="24"/>
          <w:szCs w:val="24"/>
        </w:rPr>
        <w:t>后方可实施。扩底直径D</w:t>
      </w:r>
      <w:r>
        <w:rPr>
          <w:rFonts w:hint="eastAsia" w:ascii="Arial" w:hAnsi="Arial" w:cs="Arial"/>
          <w:sz w:val="24"/>
          <w:szCs w:val="24"/>
        </w:rPr>
        <w:t>与</w:t>
      </w:r>
      <w:r>
        <w:rPr>
          <w:rFonts w:ascii="Arial" w:hAnsi="Arial" w:cs="Arial"/>
          <w:sz w:val="24"/>
          <w:szCs w:val="24"/>
        </w:rPr>
        <w:t>桩身直径d的</w:t>
      </w:r>
      <w:r>
        <w:rPr>
          <w:rFonts w:hint="eastAsia" w:ascii="Arial" w:hAnsi="Arial" w:cs="Arial"/>
          <w:sz w:val="24"/>
          <w:szCs w:val="24"/>
        </w:rPr>
        <w:t>比值应根据地质条件和承载力要求确定，不宜大于</w:t>
      </w:r>
      <w:r>
        <w:rPr>
          <w:rFonts w:ascii="Arial" w:hAnsi="Arial" w:cs="Arial"/>
          <w:sz w:val="24"/>
          <w:szCs w:val="24"/>
        </w:rPr>
        <w:t>2.0。</w:t>
      </w:r>
    </w:p>
    <w:p>
      <w:pPr>
        <w:spacing w:line="360" w:lineRule="auto"/>
        <w:rPr>
          <w:rFonts w:ascii="Arial" w:hAnsi="Arial" w:cs="Arial"/>
          <w:sz w:val="24"/>
          <w:szCs w:val="24"/>
        </w:rPr>
      </w:pPr>
      <w:r>
        <w:rPr>
          <w:rFonts w:ascii="Arial" w:hAnsi="Arial" w:cs="Arial"/>
          <w:sz w:val="24"/>
          <w:szCs w:val="24"/>
        </w:rPr>
        <w:t>7.2.1 承压桩竖向承载力验算应符合下式要求：</w:t>
      </w:r>
    </w:p>
    <w:p>
      <w:pPr>
        <w:spacing w:line="360" w:lineRule="auto"/>
        <w:ind w:firstLine="480" w:firstLineChars="200"/>
        <w:rPr>
          <w:rFonts w:ascii="Arial" w:hAnsi="Arial" w:cs="Arial"/>
          <w:kern w:val="0"/>
          <w:sz w:val="24"/>
          <w:szCs w:val="24"/>
        </w:rPr>
      </w:pPr>
      <w:r>
        <w:rPr>
          <w:rFonts w:ascii="Arial" w:hAnsi="Arial" w:cs="Arial"/>
          <w:kern w:val="0"/>
          <w:sz w:val="24"/>
          <w:szCs w:val="24"/>
        </w:rPr>
        <w:t>当轴心竖向力作用时：</w:t>
      </w:r>
    </w:p>
    <w:p>
      <w:pPr>
        <w:spacing w:before="156" w:beforeLines="50" w:after="156" w:afterLines="50"/>
        <w:ind w:right="84" w:rightChars="40"/>
        <w:jc w:val="center"/>
        <w:rPr>
          <w:rFonts w:ascii="Arial" w:hAnsi="Arial" w:cs="Arial"/>
          <w:szCs w:val="21"/>
        </w:rPr>
      </w:pPr>
      <w:r>
        <w:rPr>
          <w:rFonts w:ascii="Arial" w:hAnsi="Arial" w:cs="Arial"/>
          <w:szCs w:val="21"/>
        </w:rPr>
        <w:drawing>
          <wp:inline distT="0" distB="0" distL="0" distR="0">
            <wp:extent cx="3723640" cy="284480"/>
            <wp:effectExtent l="19050" t="0" r="0" b="0"/>
            <wp:docPr id="17"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true" noChangeArrowheads="true"/>
                    </pic:cNvPicPr>
                  </pic:nvPicPr>
                  <pic:blipFill>
                    <a:blip r:embed="rId27"/>
                    <a:srcRect/>
                    <a:stretch>
                      <a:fillRect/>
                    </a:stretch>
                  </pic:blipFill>
                  <pic:spPr>
                    <a:xfrm>
                      <a:off x="0" y="0"/>
                      <a:ext cx="3723640" cy="284480"/>
                    </a:xfrm>
                    <a:prstGeom prst="rect">
                      <a:avLst/>
                    </a:prstGeom>
                    <a:noFill/>
                    <a:ln w="9525">
                      <a:noFill/>
                      <a:miter lim="800000"/>
                      <a:headEnd/>
                      <a:tailEnd/>
                    </a:ln>
                  </pic:spPr>
                </pic:pic>
              </a:graphicData>
            </a:graphic>
          </wp:inline>
        </w:drawing>
      </w:r>
    </w:p>
    <w:p>
      <w:pPr>
        <w:spacing w:line="360" w:lineRule="auto"/>
        <w:ind w:left="1080" w:leftChars="200" w:hanging="660" w:hangingChars="275"/>
        <w:rPr>
          <w:rFonts w:ascii="Arial" w:hAnsi="Arial" w:cs="Arial"/>
          <w:kern w:val="0"/>
          <w:sz w:val="24"/>
          <w:szCs w:val="24"/>
        </w:rPr>
      </w:pPr>
      <w:r>
        <w:rPr>
          <w:rFonts w:ascii="Arial" w:hAnsi="Arial" w:cs="Arial"/>
          <w:kern w:val="0"/>
          <w:sz w:val="24"/>
          <w:szCs w:val="24"/>
        </w:rPr>
        <w:t>式中：Q</w:t>
      </w:r>
      <w:r>
        <w:rPr>
          <w:rFonts w:ascii="Arial" w:hAnsi="Arial" w:cs="Arial"/>
          <w:kern w:val="0"/>
          <w:sz w:val="24"/>
          <w:szCs w:val="24"/>
          <w:vertAlign w:val="subscript"/>
        </w:rPr>
        <w:t>d</w:t>
      </w:r>
      <w:r>
        <w:rPr>
          <w:rFonts w:ascii="Arial" w:hAnsi="Arial" w:cs="Arial"/>
          <w:kern w:val="0"/>
          <w:sz w:val="24"/>
          <w:szCs w:val="24"/>
        </w:rPr>
        <w:t>——作用于单桩桩顶的竖向力设计值（kN），按作用效应基本组合计算，但其分项系数均为1.0；</w:t>
      </w:r>
    </w:p>
    <w:p>
      <w:pPr>
        <w:spacing w:line="360" w:lineRule="auto"/>
        <w:ind w:left="1103" w:leftChars="525"/>
        <w:rPr>
          <w:rFonts w:ascii="Arial" w:hAnsi="Arial" w:cs="Arial"/>
          <w:kern w:val="0"/>
          <w:sz w:val="24"/>
          <w:szCs w:val="24"/>
        </w:rPr>
      </w:pPr>
      <w:r>
        <w:rPr>
          <w:rFonts w:ascii="Arial" w:hAnsi="Arial" w:cs="Arial"/>
          <w:kern w:val="0"/>
          <w:sz w:val="24"/>
          <w:szCs w:val="24"/>
        </w:rPr>
        <w:t>F</w:t>
      </w:r>
      <w:r>
        <w:rPr>
          <w:rFonts w:ascii="Arial" w:hAnsi="Arial" w:cs="Arial"/>
          <w:kern w:val="0"/>
          <w:sz w:val="24"/>
          <w:szCs w:val="24"/>
          <w:vertAlign w:val="subscript"/>
        </w:rPr>
        <w:t>d</w:t>
      </w:r>
      <w:r>
        <w:rPr>
          <w:rFonts w:ascii="Arial" w:hAnsi="Arial" w:cs="Arial"/>
          <w:kern w:val="0"/>
          <w:sz w:val="24"/>
          <w:szCs w:val="24"/>
        </w:rPr>
        <w:t>——作用于桩基承台顶面的竖向力设计值（kN），按作用效应基本组合计算，但其分项系数均为1.0；</w:t>
      </w:r>
    </w:p>
    <w:p>
      <w:pPr>
        <w:spacing w:line="360" w:lineRule="auto"/>
        <w:ind w:left="1103" w:leftChars="525"/>
        <w:rPr>
          <w:rFonts w:ascii="Arial" w:hAnsi="Arial" w:cs="Arial"/>
          <w:kern w:val="0"/>
          <w:sz w:val="24"/>
          <w:szCs w:val="24"/>
        </w:rPr>
      </w:pPr>
      <w:r>
        <w:rPr>
          <w:rFonts w:ascii="Arial" w:hAnsi="Arial" w:cs="Arial"/>
          <w:kern w:val="0"/>
          <w:sz w:val="24"/>
          <w:szCs w:val="24"/>
        </w:rPr>
        <w:t>G</w:t>
      </w:r>
      <w:r>
        <w:rPr>
          <w:rFonts w:ascii="Arial" w:hAnsi="Arial" w:cs="Arial"/>
          <w:kern w:val="0"/>
          <w:sz w:val="24"/>
          <w:szCs w:val="24"/>
          <w:vertAlign w:val="subscript"/>
        </w:rPr>
        <w:t>d</w:t>
      </w:r>
      <w:r>
        <w:rPr>
          <w:rFonts w:ascii="Arial" w:hAnsi="Arial" w:cs="Arial"/>
          <w:kern w:val="0"/>
          <w:sz w:val="24"/>
          <w:szCs w:val="24"/>
        </w:rPr>
        <w:t>——桩基承台和承台上土的自重设计值（kN），地下水位以下扣除浮力，自重和浮力作用分项系数取1.0；</w:t>
      </w:r>
    </w:p>
    <w:p>
      <w:pPr>
        <w:spacing w:line="360" w:lineRule="auto"/>
        <w:ind w:left="1103" w:leftChars="525"/>
        <w:rPr>
          <w:rFonts w:ascii="Arial" w:hAnsi="Arial" w:cs="Arial"/>
          <w:kern w:val="0"/>
          <w:sz w:val="24"/>
          <w:szCs w:val="24"/>
        </w:rPr>
      </w:pPr>
      <w:r>
        <w:rPr>
          <w:rFonts w:ascii="Arial" w:hAnsi="Arial" w:cs="Arial"/>
          <w:kern w:val="0"/>
          <w:sz w:val="24"/>
          <w:szCs w:val="24"/>
        </w:rPr>
        <w:t>n——桩的数量；</w:t>
      </w:r>
    </w:p>
    <w:p>
      <w:pPr>
        <w:spacing w:line="360" w:lineRule="auto"/>
        <w:ind w:left="1103" w:leftChars="525"/>
        <w:rPr>
          <w:rFonts w:ascii="Arial" w:hAnsi="Arial" w:cs="Arial"/>
          <w:kern w:val="0"/>
          <w:sz w:val="24"/>
          <w:szCs w:val="24"/>
        </w:rPr>
      </w:pPr>
      <w:r>
        <w:rPr>
          <w:rFonts w:ascii="Arial" w:hAnsi="Arial" w:cs="Arial"/>
          <w:kern w:val="0"/>
          <w:sz w:val="24"/>
          <w:szCs w:val="24"/>
        </w:rPr>
        <w:t>R</w:t>
      </w:r>
      <w:r>
        <w:rPr>
          <w:rFonts w:ascii="Arial" w:hAnsi="Arial" w:cs="Arial"/>
          <w:kern w:val="0"/>
          <w:sz w:val="24"/>
          <w:szCs w:val="24"/>
          <w:vertAlign w:val="subscript"/>
        </w:rPr>
        <w:t>d</w:t>
      </w:r>
      <w:r>
        <w:rPr>
          <w:rFonts w:ascii="Arial" w:hAnsi="Arial" w:cs="Arial"/>
          <w:kern w:val="0"/>
          <w:sz w:val="24"/>
          <w:szCs w:val="24"/>
        </w:rPr>
        <w:t>——单桩竖向承载力设计值（kN）。</w:t>
      </w:r>
    </w:p>
    <w:p>
      <w:pPr>
        <w:spacing w:line="360" w:lineRule="auto"/>
        <w:ind w:firstLine="480" w:firstLineChars="200"/>
        <w:rPr>
          <w:rFonts w:ascii="Arial" w:hAnsi="Arial" w:cs="Arial"/>
          <w:kern w:val="0"/>
          <w:sz w:val="24"/>
          <w:szCs w:val="24"/>
        </w:rPr>
      </w:pPr>
      <w:r>
        <w:rPr>
          <w:rFonts w:ascii="Arial" w:hAnsi="Arial" w:cs="Arial"/>
          <w:kern w:val="0"/>
          <w:sz w:val="24"/>
          <w:szCs w:val="24"/>
        </w:rPr>
        <w:t>当偏心竖向力作用时，除符合式（7.2.1-1）外，尚应符合下式要求：</w:t>
      </w:r>
    </w:p>
    <w:p>
      <w:pPr>
        <w:spacing w:before="156" w:beforeLines="50" w:after="156" w:afterLines="50"/>
        <w:ind w:right="420" w:rightChars="200"/>
        <w:jc w:val="center"/>
        <w:rPr>
          <w:rFonts w:ascii="Arial" w:hAnsi="Arial" w:cs="Arial"/>
          <w:szCs w:val="21"/>
        </w:rPr>
      </w:pPr>
      <w:r>
        <w:rPr>
          <w:rFonts w:ascii="Arial" w:hAnsi="Arial" w:cs="Arial"/>
          <w:szCs w:val="21"/>
        </w:rPr>
        <w:drawing>
          <wp:inline distT="0" distB="0" distL="0" distR="0">
            <wp:extent cx="4165600" cy="162560"/>
            <wp:effectExtent l="19050" t="0" r="6350" b="0"/>
            <wp:docPr id="18"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true" noChangeArrowheads="true"/>
                    </pic:cNvPicPr>
                  </pic:nvPicPr>
                  <pic:blipFill>
                    <a:blip r:embed="rId28"/>
                    <a:srcRect/>
                    <a:stretch>
                      <a:fillRect/>
                    </a:stretch>
                  </pic:blipFill>
                  <pic:spPr>
                    <a:xfrm>
                      <a:off x="0" y="0"/>
                      <a:ext cx="4165600" cy="162560"/>
                    </a:xfrm>
                    <a:prstGeom prst="rect">
                      <a:avLst/>
                    </a:prstGeom>
                    <a:noFill/>
                    <a:ln w="9525">
                      <a:noFill/>
                      <a:miter lim="800000"/>
                      <a:headEnd/>
                      <a:tailEnd/>
                    </a:ln>
                  </pic:spPr>
                </pic:pic>
              </a:graphicData>
            </a:graphic>
          </wp:inline>
        </w:drawing>
      </w:r>
    </w:p>
    <w:p>
      <w:pPr>
        <w:spacing w:before="156" w:beforeLines="50" w:after="156" w:afterLines="50"/>
        <w:ind w:right="420" w:rightChars="200" w:firstLine="630" w:firstLineChars="300"/>
        <w:rPr>
          <w:rFonts w:ascii="Arial" w:hAnsi="Arial" w:cs="Arial"/>
          <w:szCs w:val="21"/>
        </w:rPr>
      </w:pPr>
      <w:r>
        <w:rPr>
          <w:rFonts w:ascii="Arial" w:hAnsi="Arial" w:cs="Arial"/>
          <w:szCs w:val="21"/>
        </w:rPr>
        <w:t xml:space="preserve">   </w:t>
      </w:r>
      <w:r>
        <w:rPr>
          <w:rFonts w:ascii="Arial" w:hAnsi="Arial" w:cs="Arial"/>
          <w:szCs w:val="21"/>
        </w:rPr>
        <w:drawing>
          <wp:inline distT="0" distB="0" distL="0" distR="0">
            <wp:extent cx="3972560" cy="345440"/>
            <wp:effectExtent l="19050" t="0" r="8890" b="0"/>
            <wp:docPr id="19"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true" noChangeArrowheads="true"/>
                    </pic:cNvPicPr>
                  </pic:nvPicPr>
                  <pic:blipFill>
                    <a:blip r:embed="rId29"/>
                    <a:srcRect/>
                    <a:stretch>
                      <a:fillRect/>
                    </a:stretch>
                  </pic:blipFill>
                  <pic:spPr>
                    <a:xfrm>
                      <a:off x="0" y="0"/>
                      <a:ext cx="3972560" cy="345440"/>
                    </a:xfrm>
                    <a:prstGeom prst="rect">
                      <a:avLst/>
                    </a:prstGeom>
                    <a:noFill/>
                    <a:ln w="9525">
                      <a:noFill/>
                      <a:miter lim="800000"/>
                      <a:headEnd/>
                      <a:tailEnd/>
                    </a:ln>
                  </pic:spPr>
                </pic:pic>
              </a:graphicData>
            </a:graphic>
          </wp:inline>
        </w:drawing>
      </w:r>
    </w:p>
    <w:p>
      <w:pPr>
        <w:spacing w:line="360" w:lineRule="auto"/>
        <w:ind w:left="1080" w:leftChars="200" w:hanging="660" w:hangingChars="275"/>
        <w:rPr>
          <w:rFonts w:ascii="Arial" w:hAnsi="Arial" w:cs="Arial"/>
          <w:kern w:val="0"/>
          <w:sz w:val="24"/>
          <w:szCs w:val="24"/>
        </w:rPr>
      </w:pPr>
      <w:r>
        <w:rPr>
          <w:rFonts w:ascii="Arial" w:hAnsi="Arial" w:cs="Arial"/>
          <w:kern w:val="0"/>
          <w:sz w:val="24"/>
          <w:szCs w:val="24"/>
        </w:rPr>
        <w:t>式中：Q</w:t>
      </w:r>
      <w:r>
        <w:rPr>
          <w:rFonts w:ascii="Arial" w:hAnsi="Arial" w:cs="Arial"/>
          <w:kern w:val="0"/>
          <w:sz w:val="24"/>
          <w:szCs w:val="24"/>
          <w:vertAlign w:val="subscript"/>
        </w:rPr>
        <w:t>dmax</w:t>
      </w:r>
      <w:r>
        <w:rPr>
          <w:rFonts w:ascii="Arial" w:hAnsi="Arial" w:cs="Arial"/>
          <w:kern w:val="0"/>
          <w:sz w:val="24"/>
          <w:szCs w:val="24"/>
        </w:rPr>
        <w:t>——承受最大荷载桩桩顶的竖向力设计值（kN），按作用效应基本组合计算，但其分项系数均为1.0；</w:t>
      </w:r>
    </w:p>
    <w:p>
      <w:pPr>
        <w:spacing w:line="360" w:lineRule="auto"/>
        <w:ind w:left="1103" w:leftChars="525"/>
        <w:rPr>
          <w:rFonts w:ascii="Arial" w:hAnsi="Arial" w:cs="Arial"/>
          <w:kern w:val="0"/>
          <w:sz w:val="24"/>
          <w:szCs w:val="24"/>
        </w:rPr>
      </w:pPr>
      <w:r>
        <w:rPr>
          <w:rFonts w:ascii="Arial" w:hAnsi="Arial" w:cs="Arial"/>
          <w:kern w:val="0"/>
          <w:sz w:val="24"/>
          <w:szCs w:val="24"/>
        </w:rPr>
        <w:t>Q</w:t>
      </w:r>
      <w:r>
        <w:rPr>
          <w:rFonts w:ascii="Arial" w:hAnsi="Arial" w:cs="Arial"/>
          <w:kern w:val="0"/>
          <w:sz w:val="24"/>
          <w:szCs w:val="24"/>
          <w:vertAlign w:val="subscript"/>
        </w:rPr>
        <w:t>di</w:t>
      </w:r>
      <w:r>
        <w:rPr>
          <w:rFonts w:ascii="Arial" w:hAnsi="Arial" w:cs="Arial"/>
          <w:kern w:val="0"/>
          <w:sz w:val="24"/>
          <w:szCs w:val="24"/>
        </w:rPr>
        <w:t>——偏心竖向力作用下第i根桩的竖向力设计值（kN），按作用效应基本组合计算，但其分项系数均为1.0；</w:t>
      </w:r>
    </w:p>
    <w:p>
      <w:pPr>
        <w:spacing w:line="360" w:lineRule="auto"/>
        <w:ind w:left="1103" w:leftChars="525"/>
        <w:rPr>
          <w:rFonts w:ascii="Arial" w:hAnsi="Arial" w:cs="Arial"/>
          <w:kern w:val="0"/>
          <w:sz w:val="24"/>
          <w:szCs w:val="24"/>
        </w:rPr>
      </w:pPr>
      <w:r>
        <w:rPr>
          <w:rFonts w:ascii="Arial" w:hAnsi="Arial" w:cs="Arial"/>
          <w:kern w:val="0"/>
          <w:sz w:val="24"/>
          <w:szCs w:val="24"/>
        </w:rPr>
        <w:t>M</w:t>
      </w:r>
      <w:r>
        <w:rPr>
          <w:rFonts w:ascii="Arial" w:hAnsi="Arial" w:cs="Arial"/>
          <w:kern w:val="0"/>
          <w:sz w:val="24"/>
          <w:szCs w:val="24"/>
          <w:vertAlign w:val="subscript"/>
        </w:rPr>
        <w:t>x</w:t>
      </w:r>
      <w:r>
        <w:rPr>
          <w:rFonts w:ascii="Arial" w:hAnsi="Arial" w:cs="Arial"/>
          <w:kern w:val="0"/>
          <w:sz w:val="24"/>
          <w:szCs w:val="24"/>
        </w:rPr>
        <w:t>、M</w:t>
      </w:r>
      <w:r>
        <w:rPr>
          <w:rFonts w:ascii="Arial" w:hAnsi="Arial" w:cs="Arial"/>
          <w:kern w:val="0"/>
          <w:sz w:val="24"/>
          <w:szCs w:val="24"/>
          <w:vertAlign w:val="subscript"/>
        </w:rPr>
        <w:t>y</w:t>
      </w:r>
      <w:r>
        <w:rPr>
          <w:rFonts w:ascii="Arial" w:hAnsi="Arial" w:cs="Arial"/>
          <w:kern w:val="0"/>
          <w:sz w:val="24"/>
          <w:szCs w:val="24"/>
        </w:rPr>
        <w:t>——作用于承台底面通过桩群形心的x、y轴的力矩设计值（kN·m），按作用效应基本组合计算，但其分项系数均为1.0；</w:t>
      </w:r>
    </w:p>
    <w:p>
      <w:pPr>
        <w:spacing w:line="360" w:lineRule="auto"/>
        <w:ind w:left="1103" w:leftChars="525"/>
        <w:rPr>
          <w:rFonts w:ascii="Arial" w:hAnsi="Arial" w:cs="Arial"/>
          <w:kern w:val="0"/>
          <w:sz w:val="24"/>
          <w:szCs w:val="24"/>
        </w:rPr>
      </w:pPr>
      <w:r>
        <w:rPr>
          <w:rFonts w:ascii="Arial" w:hAnsi="Arial" w:cs="Arial"/>
          <w:kern w:val="0"/>
          <w:sz w:val="24"/>
          <w:szCs w:val="24"/>
        </w:rPr>
        <w:t>x</w:t>
      </w:r>
      <w:r>
        <w:rPr>
          <w:rFonts w:ascii="Arial" w:hAnsi="Arial" w:cs="Arial"/>
          <w:kern w:val="0"/>
          <w:sz w:val="24"/>
          <w:szCs w:val="24"/>
          <w:vertAlign w:val="subscript"/>
        </w:rPr>
        <w:t>i</w:t>
      </w:r>
      <w:r>
        <w:rPr>
          <w:rFonts w:ascii="Arial" w:hAnsi="Arial" w:cs="Arial"/>
          <w:kern w:val="0"/>
          <w:sz w:val="24"/>
          <w:szCs w:val="24"/>
        </w:rPr>
        <w:t>、y</w:t>
      </w:r>
      <w:r>
        <w:rPr>
          <w:rFonts w:ascii="Arial" w:hAnsi="Arial" w:cs="Arial"/>
          <w:kern w:val="0"/>
          <w:sz w:val="24"/>
          <w:szCs w:val="24"/>
          <w:vertAlign w:val="subscript"/>
        </w:rPr>
        <w:t>i</w:t>
      </w:r>
      <w:r>
        <w:rPr>
          <w:rFonts w:ascii="Arial" w:hAnsi="Arial" w:cs="Arial"/>
          <w:kern w:val="0"/>
          <w:sz w:val="24"/>
          <w:szCs w:val="24"/>
        </w:rPr>
        <w:t>——第i根桩至y、x轴的距离（m）。</w:t>
      </w:r>
    </w:p>
    <w:p>
      <w:pPr>
        <w:spacing w:line="360" w:lineRule="auto"/>
        <w:rPr>
          <w:rFonts w:ascii="Arial" w:hAnsi="Arial" w:cs="Arial"/>
          <w:sz w:val="24"/>
          <w:szCs w:val="24"/>
        </w:rPr>
      </w:pPr>
      <w:r>
        <w:rPr>
          <w:rFonts w:ascii="Arial" w:hAnsi="Arial" w:cs="Arial"/>
          <w:sz w:val="24"/>
          <w:szCs w:val="24"/>
        </w:rPr>
        <w:t>7.2.6 对于桩径大于850mm的大直径灌注桩，应采用桩端后注浆工艺。</w:t>
      </w:r>
    </w:p>
    <w:p>
      <w:pPr>
        <w:spacing w:line="360" w:lineRule="auto"/>
        <w:rPr>
          <w:rFonts w:ascii="Arial" w:hAnsi="Arial" w:cs="Arial"/>
          <w:sz w:val="24"/>
          <w:szCs w:val="24"/>
        </w:rPr>
      </w:pPr>
      <w:r>
        <w:rPr>
          <w:rFonts w:ascii="Arial" w:hAnsi="Arial" w:cs="Arial"/>
          <w:sz w:val="24"/>
          <w:szCs w:val="24"/>
        </w:rPr>
        <w:t>7.3.5 桩基承台的尺寸、配筋等，除按计算确定外，尚应满足下列构造要求：</w:t>
      </w:r>
    </w:p>
    <w:p>
      <w:pPr>
        <w:spacing w:line="360" w:lineRule="auto"/>
        <w:ind w:firstLine="480" w:firstLineChars="200"/>
        <w:rPr>
          <w:rFonts w:ascii="Arial" w:hAnsi="Arial" w:cs="Arial"/>
          <w:kern w:val="0"/>
          <w:sz w:val="24"/>
          <w:szCs w:val="24"/>
        </w:rPr>
      </w:pPr>
      <w:r>
        <w:rPr>
          <w:rFonts w:ascii="Arial" w:hAnsi="Arial" w:cs="Arial"/>
          <w:kern w:val="0"/>
          <w:sz w:val="24"/>
          <w:szCs w:val="24"/>
        </w:rPr>
        <w:t xml:space="preserve">1 </w:t>
      </w:r>
      <w:r>
        <w:rPr>
          <w:rFonts w:ascii="Arial" w:hAnsi="Arial" w:cs="Arial"/>
          <w:sz w:val="24"/>
          <w:szCs w:val="24"/>
        </w:rPr>
        <w:t>建筑桩基承台的埋置深度不宜小于建筑物高度的</w:t>
      </w:r>
      <w:r>
        <w:rPr>
          <w:rFonts w:ascii="Arial" w:hAnsi="Arial" w:cs="Arial"/>
          <w:kern w:val="0"/>
          <w:sz w:val="24"/>
          <w:szCs w:val="24"/>
        </w:rPr>
        <w:t>1/18。承台最小宽度不应小于2d，同时不宜小于500mm。承台边缘至桩中心的距离不宜小于1d，同时边缘挑出部分不宜小于150mm。对于条形承台梁，桩的外边缘至承台梁边缘的距离不小于75mm。承台下部钢筋至承台顶面的高度不宜小于300mm。</w:t>
      </w:r>
    </w:p>
    <w:p>
      <w:pPr>
        <w:spacing w:line="360" w:lineRule="auto"/>
        <w:ind w:firstLine="480" w:firstLineChars="200"/>
        <w:rPr>
          <w:rFonts w:ascii="Arial" w:hAnsi="Arial" w:cs="Arial"/>
          <w:kern w:val="0"/>
          <w:sz w:val="24"/>
          <w:szCs w:val="24"/>
        </w:rPr>
      </w:pPr>
      <w:r>
        <w:rPr>
          <w:rFonts w:ascii="Arial" w:hAnsi="Arial" w:cs="Arial"/>
          <w:kern w:val="0"/>
          <w:sz w:val="24"/>
          <w:szCs w:val="24"/>
        </w:rPr>
        <w:t>2 承台混凝土等级不应低于C30。承台下部钢筋保护层厚度应与桩顶嵌入高度一致。</w:t>
      </w:r>
    </w:p>
    <w:p>
      <w:pPr>
        <w:spacing w:line="360" w:lineRule="auto"/>
        <w:ind w:firstLine="480" w:firstLineChars="200"/>
        <w:rPr>
          <w:rFonts w:ascii="Arial" w:hAnsi="Arial" w:cs="Arial"/>
          <w:kern w:val="0"/>
          <w:sz w:val="24"/>
          <w:szCs w:val="24"/>
        </w:rPr>
      </w:pPr>
      <w:r>
        <w:rPr>
          <w:rFonts w:ascii="Arial" w:hAnsi="Arial" w:cs="Arial"/>
          <w:kern w:val="0"/>
          <w:sz w:val="24"/>
          <w:szCs w:val="24"/>
        </w:rPr>
        <w:t>5 桩顶嵌入承台的高度应根据桩的受力情况、设计假定及施工条件等综合考虑，不宜小于100mm；桩径小于400mm时，不宜小于50mm。</w:t>
      </w:r>
    </w:p>
    <w:p>
      <w:pPr>
        <w:spacing w:line="360" w:lineRule="auto"/>
        <w:ind w:firstLine="480" w:firstLineChars="200"/>
        <w:rPr>
          <w:rFonts w:ascii="Arial" w:hAnsi="Arial" w:cs="Arial"/>
          <w:kern w:val="0"/>
          <w:sz w:val="24"/>
          <w:szCs w:val="24"/>
        </w:rPr>
      </w:pPr>
      <w:r>
        <w:rPr>
          <w:rFonts w:ascii="Arial" w:hAnsi="Arial" w:cs="Arial"/>
          <w:kern w:val="0"/>
          <w:sz w:val="24"/>
          <w:szCs w:val="24"/>
        </w:rPr>
        <w:t>混凝土桩的桩顶主筋应伸入承台内，其锚固长度不宜小于35d</w:t>
      </w:r>
      <w:r>
        <w:rPr>
          <w:rFonts w:ascii="Arial" w:hAnsi="Arial" w:cs="Arial"/>
          <w:kern w:val="0"/>
          <w:sz w:val="24"/>
          <w:szCs w:val="24"/>
          <w:vertAlign w:val="subscript"/>
        </w:rPr>
        <w:t>g</w:t>
      </w:r>
      <w:r>
        <w:rPr>
          <w:rFonts w:ascii="Arial" w:hAnsi="Arial" w:cs="Arial"/>
          <w:kern w:val="0"/>
          <w:sz w:val="24"/>
          <w:szCs w:val="24"/>
        </w:rPr>
        <w:t>；对于抗拔桩桩顶主筋的锚固长度应按现行国家标准《混凝土结构设计规范》GB50010确定，必要时需采取一定的锚固措施。</w:t>
      </w:r>
    </w:p>
    <w:p>
      <w:pPr>
        <w:spacing w:line="360" w:lineRule="auto"/>
        <w:rPr>
          <w:rFonts w:ascii="Arial" w:hAnsi="Arial" w:cs="Arial"/>
          <w:sz w:val="24"/>
          <w:szCs w:val="24"/>
        </w:rPr>
      </w:pPr>
      <w:r>
        <w:rPr>
          <w:rFonts w:ascii="Arial" w:hAnsi="Arial" w:cs="Arial"/>
          <w:sz w:val="24"/>
          <w:szCs w:val="24"/>
        </w:rPr>
        <w:t>8.4.2 低承台桩基抗震验算应符合下列</w:t>
      </w:r>
      <w:r>
        <w:rPr>
          <w:rFonts w:hint="eastAsia" w:ascii="Arial" w:hAnsi="Arial" w:cs="Arial"/>
          <w:sz w:val="24"/>
          <w:szCs w:val="24"/>
        </w:rPr>
        <w:t>公</w:t>
      </w:r>
      <w:r>
        <w:rPr>
          <w:rFonts w:ascii="Arial" w:hAnsi="Arial" w:cs="Arial"/>
          <w:sz w:val="24"/>
          <w:szCs w:val="24"/>
        </w:rPr>
        <w:t>式：</w:t>
      </w:r>
    </w:p>
    <w:p>
      <w:pPr>
        <w:spacing w:line="360" w:lineRule="auto"/>
        <w:ind w:firstLine="480" w:firstLineChars="200"/>
        <w:rPr>
          <w:rFonts w:ascii="Arial" w:hAnsi="Arial" w:cs="Arial"/>
          <w:kern w:val="0"/>
          <w:sz w:val="24"/>
          <w:szCs w:val="24"/>
        </w:rPr>
      </w:pPr>
      <w:r>
        <w:rPr>
          <w:rFonts w:ascii="Arial" w:hAnsi="Arial" w:cs="Arial"/>
          <w:kern w:val="0"/>
          <w:sz w:val="24"/>
          <w:szCs w:val="24"/>
        </w:rPr>
        <w:t>1 单桩竖向承载力</w:t>
      </w:r>
    </w:p>
    <w:p>
      <w:pPr>
        <w:spacing w:before="156" w:beforeLines="50" w:after="156" w:afterLines="50"/>
        <w:ind w:right="420" w:rightChars="200"/>
        <w:jc w:val="center"/>
        <w:rPr>
          <w:rFonts w:ascii="Arial" w:hAnsi="Arial" w:cs="Arial"/>
          <w:szCs w:val="21"/>
        </w:rPr>
      </w:pPr>
      <w:r>
        <w:rPr>
          <w:rFonts w:ascii="Arial" w:hAnsi="Arial" w:cs="Arial"/>
          <w:szCs w:val="21"/>
        </w:rPr>
        <w:drawing>
          <wp:inline distT="0" distB="0" distL="0" distR="0">
            <wp:extent cx="2468880" cy="741680"/>
            <wp:effectExtent l="19050" t="0" r="7620" b="0"/>
            <wp:docPr id="20"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true" noChangeArrowheads="true"/>
                    </pic:cNvPicPr>
                  </pic:nvPicPr>
                  <pic:blipFill>
                    <a:blip r:embed="rId30"/>
                    <a:srcRect/>
                    <a:stretch>
                      <a:fillRect/>
                    </a:stretch>
                  </pic:blipFill>
                  <pic:spPr>
                    <a:xfrm>
                      <a:off x="0" y="0"/>
                      <a:ext cx="2468880" cy="741680"/>
                    </a:xfrm>
                    <a:prstGeom prst="rect">
                      <a:avLst/>
                    </a:prstGeom>
                    <a:noFill/>
                    <a:ln w="9525">
                      <a:noFill/>
                      <a:miter lim="800000"/>
                      <a:headEnd/>
                      <a:tailEnd/>
                    </a:ln>
                  </pic:spPr>
                </pic:pic>
              </a:graphicData>
            </a:graphic>
          </wp:inline>
        </w:drawing>
      </w:r>
    </w:p>
    <w:p>
      <w:pPr>
        <w:spacing w:line="360" w:lineRule="auto"/>
        <w:ind w:left="1080" w:leftChars="200" w:hanging="660" w:hangingChars="275"/>
        <w:rPr>
          <w:rFonts w:ascii="Arial" w:hAnsi="Arial" w:cs="Arial"/>
          <w:kern w:val="0"/>
          <w:sz w:val="24"/>
          <w:szCs w:val="24"/>
        </w:rPr>
      </w:pPr>
      <w:r>
        <w:rPr>
          <w:rFonts w:ascii="Arial" w:hAnsi="Arial" w:cs="Arial"/>
          <w:kern w:val="0"/>
          <w:sz w:val="24"/>
          <w:szCs w:val="24"/>
        </w:rPr>
        <w:t>式中：Q</w:t>
      </w:r>
      <w:r>
        <w:rPr>
          <w:rFonts w:ascii="Arial" w:hAnsi="Arial" w:cs="Arial"/>
          <w:kern w:val="0"/>
          <w:sz w:val="24"/>
          <w:szCs w:val="24"/>
          <w:vertAlign w:val="subscript"/>
        </w:rPr>
        <w:t>d</w:t>
      </w:r>
      <w:r>
        <w:rPr>
          <w:rFonts w:ascii="Arial" w:hAnsi="Arial" w:cs="Arial"/>
          <w:kern w:val="0"/>
          <w:sz w:val="24"/>
          <w:szCs w:val="24"/>
        </w:rPr>
        <w:t>—在地震作用效应和其它作用效应的基本组合下，作用在单桩桩顶的竖向荷载设计值（kN），但作用分项系数取1.0；</w:t>
      </w:r>
    </w:p>
    <w:p>
      <w:pPr>
        <w:spacing w:line="360" w:lineRule="auto"/>
        <w:ind w:left="1103" w:leftChars="525"/>
        <w:rPr>
          <w:rFonts w:ascii="Arial" w:hAnsi="Arial" w:cs="Arial"/>
          <w:kern w:val="0"/>
          <w:sz w:val="24"/>
          <w:szCs w:val="24"/>
        </w:rPr>
      </w:pPr>
      <w:r>
        <w:rPr>
          <w:rFonts w:ascii="Arial" w:hAnsi="Arial" w:cs="Arial"/>
          <w:kern w:val="0"/>
          <w:sz w:val="24"/>
          <w:szCs w:val="24"/>
        </w:rPr>
        <w:t>Q</w:t>
      </w:r>
      <w:r>
        <w:rPr>
          <w:rFonts w:ascii="Arial" w:hAnsi="Arial" w:cs="Arial"/>
          <w:kern w:val="0"/>
          <w:sz w:val="24"/>
          <w:szCs w:val="24"/>
          <w:vertAlign w:val="subscript"/>
        </w:rPr>
        <w:t>dmax</w:t>
      </w:r>
      <w:r>
        <w:rPr>
          <w:rFonts w:ascii="Arial" w:hAnsi="Arial" w:cs="Arial"/>
          <w:kern w:val="0"/>
          <w:sz w:val="24"/>
          <w:szCs w:val="24"/>
        </w:rPr>
        <w:t>—在地震作用效应和其他作用效应的基本组合下，承受最大荷载桩桩顶的竖向荷载设计值（kN），但作用分项系数取1.0；</w:t>
      </w:r>
    </w:p>
    <w:p>
      <w:pPr>
        <w:spacing w:line="360" w:lineRule="auto"/>
        <w:ind w:left="1103" w:leftChars="525"/>
        <w:rPr>
          <w:rFonts w:ascii="Arial" w:hAnsi="Arial" w:cs="Arial"/>
          <w:kern w:val="0"/>
          <w:sz w:val="24"/>
          <w:szCs w:val="24"/>
        </w:rPr>
      </w:pPr>
      <w:r>
        <w:rPr>
          <w:rFonts w:ascii="Arial" w:hAnsi="Arial" w:cs="Arial"/>
          <w:kern w:val="0"/>
          <w:sz w:val="24"/>
          <w:szCs w:val="24"/>
        </w:rPr>
        <w:t>R</w:t>
      </w:r>
      <w:r>
        <w:rPr>
          <w:rFonts w:ascii="Arial" w:hAnsi="Arial" w:cs="Arial"/>
          <w:kern w:val="0"/>
          <w:sz w:val="24"/>
          <w:szCs w:val="24"/>
          <w:vertAlign w:val="subscript"/>
        </w:rPr>
        <w:t>d</w:t>
      </w:r>
      <w:r>
        <w:rPr>
          <w:rFonts w:ascii="Arial" w:hAnsi="Arial" w:cs="Arial"/>
          <w:kern w:val="0"/>
          <w:sz w:val="24"/>
          <w:szCs w:val="24"/>
        </w:rPr>
        <w:t>—静态下单桩竖向承载力设计值（kN）；</w:t>
      </w:r>
    </w:p>
    <w:p>
      <w:pPr>
        <w:spacing w:line="360" w:lineRule="auto"/>
        <w:ind w:left="1103" w:leftChars="525"/>
        <w:rPr>
          <w:rFonts w:ascii="Arial" w:hAnsi="Arial" w:cs="Arial"/>
          <w:kern w:val="0"/>
          <w:sz w:val="24"/>
          <w:szCs w:val="24"/>
        </w:rPr>
      </w:pPr>
      <w:r>
        <w:rPr>
          <w:rFonts w:ascii="Arial" w:hAnsi="Arial" w:cs="Arial"/>
          <w:kern w:val="0"/>
          <w:sz w:val="24"/>
          <w:szCs w:val="24"/>
        </w:rPr>
        <w:t>γ</w:t>
      </w:r>
      <w:r>
        <w:rPr>
          <w:rFonts w:ascii="Arial" w:hAnsi="Arial" w:cs="Arial"/>
          <w:kern w:val="0"/>
          <w:sz w:val="24"/>
          <w:szCs w:val="24"/>
          <w:vertAlign w:val="subscript"/>
        </w:rPr>
        <w:t>RE</w:t>
      </w:r>
      <w:r>
        <w:rPr>
          <w:rFonts w:ascii="Arial" w:hAnsi="Arial" w:cs="Arial"/>
          <w:kern w:val="0"/>
          <w:sz w:val="24"/>
          <w:szCs w:val="24"/>
        </w:rPr>
        <w:t>—桩基承载力抗震调整系数，可取0.8。</w:t>
      </w:r>
    </w:p>
    <w:p>
      <w:pPr>
        <w:spacing w:line="360" w:lineRule="auto"/>
        <w:ind w:firstLine="480" w:firstLineChars="200"/>
        <w:rPr>
          <w:rFonts w:ascii="Arial" w:hAnsi="Arial" w:cs="Arial"/>
          <w:kern w:val="0"/>
          <w:sz w:val="24"/>
          <w:szCs w:val="24"/>
        </w:rPr>
      </w:pPr>
      <w:r>
        <w:rPr>
          <w:rFonts w:ascii="Arial" w:hAnsi="Arial" w:cs="Arial"/>
          <w:kern w:val="0"/>
          <w:sz w:val="24"/>
          <w:szCs w:val="24"/>
        </w:rPr>
        <w:t>2 单桩水平承载力：</w:t>
      </w:r>
    </w:p>
    <w:p>
      <w:pPr>
        <w:spacing w:before="156" w:beforeLines="50" w:after="156" w:afterLines="50"/>
        <w:ind w:right="-50" w:rightChars="-24"/>
        <w:jc w:val="center"/>
        <w:rPr>
          <w:rFonts w:ascii="Arial" w:hAnsi="Arial" w:cs="Arial"/>
          <w:szCs w:val="21"/>
        </w:rPr>
      </w:pPr>
      <w:r>
        <w:rPr>
          <w:rFonts w:ascii="Arial" w:hAnsi="Arial" w:cs="Arial"/>
          <w:szCs w:val="21"/>
        </w:rPr>
        <w:drawing>
          <wp:inline distT="0" distB="0" distL="0" distR="0">
            <wp:extent cx="2489200" cy="325120"/>
            <wp:effectExtent l="19050" t="0" r="6350" b="0"/>
            <wp:docPr id="21"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true" noChangeArrowheads="true"/>
                    </pic:cNvPicPr>
                  </pic:nvPicPr>
                  <pic:blipFill>
                    <a:blip r:embed="rId31"/>
                    <a:srcRect l="36124" b="-681"/>
                    <a:stretch>
                      <a:fillRect/>
                    </a:stretch>
                  </pic:blipFill>
                  <pic:spPr>
                    <a:xfrm>
                      <a:off x="0" y="0"/>
                      <a:ext cx="2489200" cy="325120"/>
                    </a:xfrm>
                    <a:prstGeom prst="rect">
                      <a:avLst/>
                    </a:prstGeom>
                    <a:noFill/>
                    <a:ln w="9525">
                      <a:noFill/>
                      <a:miter lim="800000"/>
                      <a:headEnd/>
                      <a:tailEnd/>
                    </a:ln>
                  </pic:spPr>
                </pic:pic>
              </a:graphicData>
            </a:graphic>
          </wp:inline>
        </w:drawing>
      </w:r>
    </w:p>
    <w:p>
      <w:pPr>
        <w:spacing w:line="360" w:lineRule="auto"/>
        <w:ind w:left="1080" w:leftChars="200" w:hanging="660" w:hangingChars="275"/>
        <w:rPr>
          <w:rFonts w:ascii="Arial" w:hAnsi="Arial" w:cs="Arial"/>
          <w:kern w:val="0"/>
          <w:sz w:val="24"/>
          <w:szCs w:val="24"/>
        </w:rPr>
      </w:pPr>
      <w:r>
        <w:rPr>
          <w:rFonts w:ascii="Arial" w:hAnsi="Arial" w:cs="Arial"/>
          <w:kern w:val="0"/>
          <w:sz w:val="24"/>
          <w:szCs w:val="24"/>
        </w:rPr>
        <w:t>式中：H</w:t>
      </w:r>
      <w:r>
        <w:rPr>
          <w:rFonts w:ascii="Arial" w:hAnsi="Arial" w:cs="Arial"/>
          <w:kern w:val="0"/>
          <w:sz w:val="24"/>
          <w:szCs w:val="24"/>
          <w:vertAlign w:val="subscript"/>
        </w:rPr>
        <w:t>d</w:t>
      </w:r>
      <w:r>
        <w:rPr>
          <w:rFonts w:ascii="Arial" w:hAnsi="Arial" w:cs="Arial"/>
          <w:kern w:val="0"/>
          <w:sz w:val="24"/>
          <w:szCs w:val="24"/>
        </w:rPr>
        <w:t>——在地震作用效应和其它作用效应的基本组合下作用于单桩桩顶的水平力设计值（kN），但作用分项系数均取1.0；</w:t>
      </w:r>
    </w:p>
    <w:p>
      <w:pPr>
        <w:spacing w:line="360" w:lineRule="auto"/>
        <w:ind w:left="1103" w:leftChars="525"/>
        <w:rPr>
          <w:rFonts w:ascii="Arial" w:hAnsi="Arial" w:cs="Arial"/>
          <w:kern w:val="0"/>
          <w:sz w:val="24"/>
          <w:szCs w:val="24"/>
        </w:rPr>
      </w:pPr>
      <w:r>
        <w:rPr>
          <w:rFonts w:ascii="Arial" w:hAnsi="Arial" w:cs="Arial"/>
          <w:kern w:val="0"/>
          <w:sz w:val="24"/>
          <w:szCs w:val="24"/>
        </w:rPr>
        <w:t>H</w:t>
      </w:r>
      <w:r>
        <w:rPr>
          <w:rFonts w:ascii="Arial" w:hAnsi="Arial" w:cs="Arial"/>
          <w:kern w:val="0"/>
          <w:sz w:val="24"/>
          <w:szCs w:val="24"/>
          <w:vertAlign w:val="subscript"/>
        </w:rPr>
        <w:t>0</w:t>
      </w:r>
      <w:r>
        <w:rPr>
          <w:rFonts w:ascii="Arial" w:hAnsi="Arial" w:cs="Arial"/>
          <w:kern w:val="0"/>
          <w:sz w:val="24"/>
          <w:szCs w:val="24"/>
        </w:rPr>
        <w:t>——在地震作用效应和其它作用效应的基本组合下基底剪力设计值（kN），但作用分项系数均取1.0；当按</w:t>
      </w:r>
      <w:r>
        <w:rPr>
          <w:rFonts w:hint="eastAsia" w:ascii="Arial" w:hAnsi="Arial" w:cs="Arial"/>
          <w:kern w:val="0"/>
          <w:sz w:val="24"/>
          <w:szCs w:val="24"/>
        </w:rPr>
        <w:t>本标准第</w:t>
      </w:r>
      <w:r>
        <w:rPr>
          <w:rFonts w:ascii="Arial" w:hAnsi="Arial" w:cs="Arial"/>
          <w:kern w:val="0"/>
          <w:sz w:val="24"/>
          <w:szCs w:val="24"/>
        </w:rPr>
        <w:t>8.4.3条可考虑承台或地下室正侧面土体的水平抗力共同承担水平地震作用时，应扣除承台或地下室正侧面土体的水平抗力，基底剪力与土体的水平抗力的分项系数均取1.0；</w:t>
      </w:r>
    </w:p>
    <w:p>
      <w:pPr>
        <w:spacing w:line="360" w:lineRule="auto"/>
        <w:ind w:left="1103" w:leftChars="525"/>
        <w:rPr>
          <w:rFonts w:ascii="Arial" w:hAnsi="Arial" w:cs="Arial"/>
          <w:kern w:val="0"/>
          <w:sz w:val="24"/>
          <w:szCs w:val="24"/>
        </w:rPr>
      </w:pPr>
      <w:r>
        <w:rPr>
          <w:rFonts w:ascii="Arial" w:hAnsi="Arial" w:cs="Arial"/>
          <w:kern w:val="0"/>
          <w:sz w:val="24"/>
          <w:szCs w:val="24"/>
        </w:rPr>
        <w:t>n——桩数；</w:t>
      </w:r>
    </w:p>
    <w:p>
      <w:pPr>
        <w:spacing w:line="360" w:lineRule="auto"/>
        <w:ind w:left="1103" w:leftChars="525"/>
        <w:rPr>
          <w:rFonts w:ascii="Arial" w:hAnsi="Arial" w:cs="Arial"/>
          <w:kern w:val="0"/>
          <w:sz w:val="24"/>
          <w:szCs w:val="24"/>
        </w:rPr>
      </w:pPr>
      <w:r>
        <w:rPr>
          <w:rFonts w:ascii="Arial" w:hAnsi="Arial" w:cs="Arial"/>
          <w:kern w:val="0"/>
          <w:sz w:val="24"/>
          <w:szCs w:val="24"/>
        </w:rPr>
        <w:t>R</w:t>
      </w:r>
      <w:r>
        <w:rPr>
          <w:rFonts w:ascii="Arial" w:hAnsi="Arial" w:cs="Arial"/>
          <w:kern w:val="0"/>
          <w:sz w:val="24"/>
          <w:szCs w:val="24"/>
          <w:vertAlign w:val="subscript"/>
        </w:rPr>
        <w:t>hd</w:t>
      </w:r>
      <w:r>
        <w:rPr>
          <w:rFonts w:ascii="Arial" w:hAnsi="Arial" w:cs="Arial"/>
          <w:kern w:val="0"/>
          <w:sz w:val="24"/>
          <w:szCs w:val="24"/>
        </w:rPr>
        <w:t>——静态下单桩水平承载力设计值（kN），可按本</w:t>
      </w:r>
      <w:r>
        <w:rPr>
          <w:rFonts w:hint="eastAsia" w:ascii="Arial" w:hAnsi="Arial" w:cs="Arial"/>
          <w:kern w:val="0"/>
          <w:sz w:val="24"/>
          <w:szCs w:val="24"/>
        </w:rPr>
        <w:t>标准第</w:t>
      </w:r>
      <w:r>
        <w:rPr>
          <w:rFonts w:ascii="Arial" w:hAnsi="Arial" w:cs="Arial"/>
          <w:kern w:val="0"/>
          <w:sz w:val="24"/>
          <w:szCs w:val="24"/>
        </w:rPr>
        <w:t>7.2.12条确定。</w:t>
      </w:r>
    </w:p>
    <w:p>
      <w:pPr>
        <w:spacing w:line="360" w:lineRule="auto"/>
        <w:ind w:left="1103" w:leftChars="525"/>
        <w:rPr>
          <w:rFonts w:ascii="Arial" w:hAnsi="Arial" w:cs="Arial"/>
          <w:kern w:val="0"/>
          <w:sz w:val="18"/>
          <w:szCs w:val="18"/>
        </w:rPr>
      </w:pPr>
      <w:r>
        <w:rPr>
          <w:rFonts w:ascii="Arial" w:hAnsi="Arial" w:cs="Arial"/>
          <w:kern w:val="0"/>
          <w:sz w:val="18"/>
          <w:szCs w:val="18"/>
        </w:rPr>
        <w:t>备注：符合8.4.1条时，可不作桩基抗震承载力验算。</w:t>
      </w:r>
    </w:p>
    <w:p>
      <w:pPr>
        <w:spacing w:line="360" w:lineRule="auto"/>
        <w:rPr>
          <w:rFonts w:ascii="Arial" w:hAnsi="Arial" w:cs="Arial"/>
          <w:sz w:val="24"/>
          <w:szCs w:val="24"/>
        </w:rPr>
      </w:pPr>
      <w:r>
        <w:rPr>
          <w:rFonts w:ascii="Arial" w:hAnsi="Arial" w:cs="Arial"/>
          <w:sz w:val="24"/>
          <w:szCs w:val="24"/>
        </w:rPr>
        <w:t>8.4.6 液化土中的桩，由桩顶至液化深度以下1.5m的范围内，纵向钢筋需保持与桩顶相同，箍筋应加密，间距宜与桩顶部相同。</w:t>
      </w:r>
    </w:p>
    <w:p>
      <w:pPr>
        <w:spacing w:line="360" w:lineRule="auto"/>
        <w:rPr>
          <w:rFonts w:ascii="Arial" w:hAnsi="Arial" w:cs="Arial"/>
          <w:sz w:val="24"/>
          <w:szCs w:val="24"/>
        </w:rPr>
      </w:pPr>
      <w:r>
        <w:rPr>
          <w:rFonts w:hint="eastAsia" w:ascii="Arial" w:hAnsi="Arial" w:cs="Arial"/>
          <w:sz w:val="24"/>
          <w:szCs w:val="24"/>
        </w:rPr>
        <w:t>8.4.7 提高建筑工程桩基础对地震作用的水平抗力，宜选择下列加强措施：</w:t>
      </w:r>
    </w:p>
    <w:p>
      <w:pPr>
        <w:spacing w:line="360" w:lineRule="auto"/>
        <w:rPr>
          <w:rFonts w:ascii="Arial" w:hAnsi="Arial" w:cs="Arial"/>
          <w:sz w:val="24"/>
          <w:szCs w:val="24"/>
        </w:rPr>
      </w:pPr>
      <w:r>
        <w:rPr>
          <w:rFonts w:hint="eastAsia" w:ascii="Arial" w:hAnsi="Arial" w:cs="Arial"/>
          <w:sz w:val="24"/>
          <w:szCs w:val="24"/>
        </w:rPr>
        <w:t xml:space="preserve">     1. 十层及十层以上建筑宜设置地下室。</w:t>
      </w:r>
    </w:p>
    <w:p>
      <w:pPr>
        <w:spacing w:line="360" w:lineRule="auto"/>
        <w:rPr>
          <w:rFonts w:ascii="Arial" w:hAnsi="Arial" w:cs="Arial"/>
          <w:sz w:val="24"/>
          <w:szCs w:val="24"/>
        </w:rPr>
      </w:pPr>
      <w:r>
        <w:rPr>
          <w:rFonts w:hint="eastAsia" w:ascii="Arial" w:hAnsi="Arial" w:cs="Arial"/>
          <w:sz w:val="24"/>
          <w:szCs w:val="24"/>
        </w:rPr>
        <w:t>10.3.7</w:t>
      </w:r>
      <w:r>
        <w:rPr>
          <w:rFonts w:ascii="Arial" w:hAnsi="Arial" w:cs="Arial"/>
          <w:sz w:val="24"/>
          <w:szCs w:val="24"/>
        </w:rPr>
        <w:t xml:space="preserve"> </w:t>
      </w:r>
      <w:r>
        <w:rPr>
          <w:rFonts w:hint="eastAsia" w:ascii="Arial" w:hAnsi="Arial" w:cs="Arial"/>
          <w:sz w:val="24"/>
          <w:szCs w:val="24"/>
        </w:rPr>
        <w:t>挡土墙抗倾稳定性应符合下式要求：</w:t>
      </w:r>
    </w:p>
    <w:p>
      <w:pPr>
        <w:spacing w:line="360" w:lineRule="auto"/>
        <w:ind w:firstLine="2400" w:firstLineChars="1000"/>
        <w:rPr>
          <w:rFonts w:ascii="Arial" w:hAnsi="Arial" w:cs="Arial"/>
          <w:sz w:val="24"/>
          <w:szCs w:val="24"/>
        </w:rPr>
      </w:pPr>
      <m:oMath>
        <m:sSub>
          <m:sSubPr>
            <m:ctrlPr>
              <w:rPr>
                <w:rFonts w:ascii="Cambria Math" w:hAnsi="Cambria Math" w:cs="Arial"/>
                <w:sz w:val="24"/>
                <w:szCs w:val="24"/>
              </w:rPr>
            </m:ctrlPr>
          </m:sSubPr>
          <m:e>
            <m:r>
              <m:rPr/>
              <w:rPr>
                <w:rFonts w:ascii="Cambria Math" w:hAnsi="Cambria Math" w:cs="Arial"/>
                <w:sz w:val="24"/>
                <w:szCs w:val="24"/>
              </w:rPr>
              <m:t>γ</m:t>
            </m:r>
            <m:ctrlPr>
              <w:rPr>
                <w:rFonts w:ascii="Cambria Math" w:hAnsi="Cambria Math" w:cs="Arial"/>
                <w:sz w:val="24"/>
                <w:szCs w:val="24"/>
              </w:rPr>
            </m:ctrlPr>
          </m:e>
          <m:sub>
            <m:r>
              <m:rPr/>
              <w:rPr>
                <w:rFonts w:ascii="Cambria Math" w:hAnsi="Cambria Math" w:cs="Arial"/>
                <w:sz w:val="24"/>
                <w:szCs w:val="24"/>
              </w:rPr>
              <m:t>s</m:t>
            </m:r>
            <m:ctrlPr>
              <w:rPr>
                <w:rFonts w:ascii="Cambria Math" w:hAnsi="Cambria Math" w:cs="Arial"/>
                <w:sz w:val="24"/>
                <w:szCs w:val="24"/>
              </w:rPr>
            </m:ctrlPr>
          </m:sub>
        </m:sSub>
        <m:nary>
          <m:naryPr>
            <m:chr m:val="∑"/>
            <m:limLoc m:val="undOvr"/>
            <m:subHide m:val="true"/>
            <m:supHide m:val="true"/>
            <m:ctrlPr>
              <w:rPr>
                <w:rFonts w:ascii="Cambria Math" w:hAnsi="Cambria Math" w:cs="Arial"/>
                <w:i/>
                <w:sz w:val="24"/>
                <w:szCs w:val="24"/>
              </w:rPr>
            </m:ctrlPr>
          </m:naryPr>
          <m:sub>
            <m:ctrlPr>
              <w:rPr>
                <w:rFonts w:ascii="Cambria Math" w:hAnsi="Cambria Math" w:cs="Arial"/>
                <w:i/>
                <w:sz w:val="24"/>
                <w:szCs w:val="24"/>
              </w:rPr>
            </m:ctrlPr>
          </m:sub>
          <m:sup>
            <m:ctrlPr>
              <w:rPr>
                <w:rFonts w:ascii="Cambria Math" w:hAnsi="Cambria Math" w:cs="Arial"/>
                <w:i/>
                <w:sz w:val="24"/>
                <w:szCs w:val="24"/>
              </w:rPr>
            </m:ctrlPr>
          </m:sup>
          <m:e>
            <m:sSub>
              <m:sSubPr>
                <m:ctrlPr>
                  <w:rPr>
                    <w:rFonts w:ascii="Cambria Math" w:hAnsi="Cambria Math" w:cs="Arial"/>
                    <w:i/>
                    <w:sz w:val="24"/>
                    <w:szCs w:val="24"/>
                  </w:rPr>
                </m:ctrlPr>
              </m:sSubPr>
              <m:e>
                <m:r>
                  <m:rPr/>
                  <w:rPr>
                    <w:rFonts w:ascii="Cambria Math" w:hAnsi="Cambria Math" w:cs="Arial"/>
                    <w:sz w:val="24"/>
                    <w:szCs w:val="24"/>
                  </w:rPr>
                  <m:t>M</m:t>
                </m:r>
                <m:ctrlPr>
                  <w:rPr>
                    <w:rFonts w:ascii="Cambria Math" w:hAnsi="Cambria Math" w:cs="Arial"/>
                    <w:i/>
                    <w:sz w:val="24"/>
                    <w:szCs w:val="24"/>
                  </w:rPr>
                </m:ctrlPr>
              </m:e>
              <m:sub>
                <m:r>
                  <m:rPr/>
                  <w:rPr>
                    <w:rFonts w:ascii="Cambria Math" w:hAnsi="Cambria Math" w:cs="Arial"/>
                    <w:sz w:val="24"/>
                    <w:szCs w:val="24"/>
                  </w:rPr>
                  <m:t>ok</m:t>
                </m:r>
                <m:ctrlPr>
                  <w:rPr>
                    <w:rFonts w:ascii="Cambria Math" w:hAnsi="Cambria Math" w:cs="Arial"/>
                    <w:i/>
                    <w:sz w:val="24"/>
                    <w:szCs w:val="24"/>
                  </w:rPr>
                </m:ctrlPr>
              </m:sub>
            </m:sSub>
            <m:ctrlPr>
              <w:rPr>
                <w:rFonts w:ascii="Cambria Math" w:hAnsi="Cambria Math" w:cs="Arial"/>
                <w:i/>
                <w:sz w:val="24"/>
                <w:szCs w:val="24"/>
              </w:rPr>
            </m:ctrlPr>
          </m:e>
        </m:nary>
        <m:r>
          <m:rPr/>
          <w:rPr>
            <w:rFonts w:ascii="Cambria Math" w:hAnsi="Cambria Math" w:cs="Arial"/>
            <w:sz w:val="24"/>
            <w:szCs w:val="24"/>
          </w:rPr>
          <m:t>≤</m:t>
        </m:r>
        <m:f>
          <m:fPr>
            <m:ctrlPr>
              <w:rPr>
                <w:rFonts w:ascii="Cambria Math" w:hAnsi="Cambria Math" w:cs="Arial"/>
                <w:i/>
                <w:sz w:val="24"/>
                <w:szCs w:val="24"/>
              </w:rPr>
            </m:ctrlPr>
          </m:fPr>
          <m:num>
            <m:r>
              <m:rPr/>
              <w:rPr>
                <w:rFonts w:ascii="Cambria Math" w:hAnsi="Cambria Math" w:cs="Arial"/>
                <w:sz w:val="24"/>
                <w:szCs w:val="24"/>
              </w:rPr>
              <m:t>1</m:t>
            </m:r>
            <m:ctrlPr>
              <w:rPr>
                <w:rFonts w:ascii="Cambria Math" w:hAnsi="Cambria Math" w:cs="Arial"/>
                <w:i/>
                <w:sz w:val="24"/>
                <w:szCs w:val="24"/>
              </w:rPr>
            </m:ctrlPr>
          </m:num>
          <m:den>
            <m:sSub>
              <m:sSubPr>
                <m:ctrlPr>
                  <w:rPr>
                    <w:rFonts w:ascii="Cambria Math" w:hAnsi="Cambria Math" w:cs="Arial"/>
                    <w:i/>
                    <w:sz w:val="24"/>
                    <w:szCs w:val="24"/>
                  </w:rPr>
                </m:ctrlPr>
              </m:sSubPr>
              <m:e>
                <m:r>
                  <m:rPr/>
                  <w:rPr>
                    <w:rFonts w:ascii="Cambria Math" w:hAnsi="Cambria Math" w:cs="Arial"/>
                    <w:sz w:val="24"/>
                    <w:szCs w:val="24"/>
                  </w:rPr>
                  <m:t>γ</m:t>
                </m:r>
                <m:ctrlPr>
                  <w:rPr>
                    <w:rFonts w:ascii="Cambria Math" w:hAnsi="Cambria Math" w:cs="Arial"/>
                    <w:i/>
                    <w:sz w:val="24"/>
                    <w:szCs w:val="24"/>
                  </w:rPr>
                </m:ctrlPr>
              </m:e>
              <m:sub>
                <m:r>
                  <m:rPr/>
                  <w:rPr>
                    <w:rFonts w:ascii="Cambria Math" w:hAnsi="Cambria Math" w:cs="Arial"/>
                    <w:sz w:val="24"/>
                    <w:szCs w:val="24"/>
                  </w:rPr>
                  <m:t>R</m:t>
                </m:r>
                <m:ctrlPr>
                  <w:rPr>
                    <w:rFonts w:ascii="Cambria Math" w:hAnsi="Cambria Math" w:cs="Arial"/>
                    <w:i/>
                    <w:sz w:val="24"/>
                    <w:szCs w:val="24"/>
                  </w:rPr>
                </m:ctrlPr>
              </m:sub>
            </m:sSub>
            <m:ctrlPr>
              <w:rPr>
                <w:rFonts w:ascii="Cambria Math" w:hAnsi="Cambria Math" w:cs="Arial"/>
                <w:i/>
                <w:sz w:val="24"/>
                <w:szCs w:val="24"/>
              </w:rPr>
            </m:ctrlPr>
          </m:den>
        </m:f>
        <m:nary>
          <m:naryPr>
            <m:chr m:val="∑"/>
            <m:limLoc m:val="undOvr"/>
            <m:subHide m:val="true"/>
            <m:supHide m:val="true"/>
            <m:ctrlPr>
              <w:rPr>
                <w:rFonts w:ascii="Cambria Math" w:hAnsi="Cambria Math" w:cs="Arial"/>
                <w:i/>
                <w:sz w:val="24"/>
                <w:szCs w:val="24"/>
              </w:rPr>
            </m:ctrlPr>
          </m:naryPr>
          <m:sub>
            <m:ctrlPr>
              <w:rPr>
                <w:rFonts w:ascii="Cambria Math" w:hAnsi="Cambria Math" w:cs="Arial"/>
                <w:i/>
                <w:sz w:val="24"/>
                <w:szCs w:val="24"/>
              </w:rPr>
            </m:ctrlPr>
          </m:sub>
          <m:sup>
            <m:ctrlPr>
              <w:rPr>
                <w:rFonts w:ascii="Cambria Math" w:hAnsi="Cambria Math" w:cs="Arial"/>
                <w:i/>
                <w:sz w:val="24"/>
                <w:szCs w:val="24"/>
              </w:rPr>
            </m:ctrlPr>
          </m:sup>
          <m:e>
            <m:sSub>
              <m:sSubPr>
                <m:ctrlPr>
                  <w:rPr>
                    <w:rFonts w:ascii="Cambria Math" w:hAnsi="Cambria Math" w:cs="Arial"/>
                    <w:i/>
                    <w:sz w:val="24"/>
                    <w:szCs w:val="24"/>
                  </w:rPr>
                </m:ctrlPr>
              </m:sSubPr>
              <m:e>
                <m:r>
                  <m:rPr/>
                  <w:rPr>
                    <w:rFonts w:ascii="Cambria Math" w:hAnsi="Cambria Math" w:cs="Arial"/>
                    <w:sz w:val="24"/>
                    <w:szCs w:val="24"/>
                  </w:rPr>
                  <m:t>M</m:t>
                </m:r>
                <m:ctrlPr>
                  <w:rPr>
                    <w:rFonts w:ascii="Cambria Math" w:hAnsi="Cambria Math" w:cs="Arial"/>
                    <w:i/>
                    <w:sz w:val="24"/>
                    <w:szCs w:val="24"/>
                  </w:rPr>
                </m:ctrlPr>
              </m:e>
              <m:sub>
                <m:r>
                  <m:rPr/>
                  <w:rPr>
                    <w:rFonts w:ascii="Cambria Math" w:hAnsi="Cambria Math" w:cs="Arial"/>
                    <w:sz w:val="24"/>
                    <w:szCs w:val="24"/>
                  </w:rPr>
                  <m:t>RK</m:t>
                </m:r>
                <m:ctrlPr>
                  <w:rPr>
                    <w:rFonts w:ascii="Cambria Math" w:hAnsi="Cambria Math" w:cs="Arial"/>
                    <w:i/>
                    <w:sz w:val="24"/>
                    <w:szCs w:val="24"/>
                  </w:rPr>
                </m:ctrlPr>
              </m:sub>
            </m:sSub>
            <m:ctrlPr>
              <w:rPr>
                <w:rFonts w:ascii="Cambria Math" w:hAnsi="Cambria Math" w:cs="Arial"/>
                <w:i/>
                <w:sz w:val="24"/>
                <w:szCs w:val="24"/>
              </w:rPr>
            </m:ctrlPr>
          </m:e>
        </m:nary>
      </m:oMath>
      <w:r>
        <w:rPr>
          <w:rFonts w:hint="eastAsia" w:ascii="Arial" w:hAnsi="Arial" w:cs="Arial"/>
          <w:sz w:val="24"/>
          <w:szCs w:val="24"/>
        </w:rPr>
        <w:t xml:space="preserve">               (10.3.7)</w:t>
      </w:r>
    </w:p>
    <w:p>
      <w:pPr>
        <w:spacing w:line="360" w:lineRule="auto"/>
        <w:ind w:firstLine="480" w:firstLineChars="200"/>
        <w:rPr>
          <w:rFonts w:ascii="Arial" w:hAnsi="Arial" w:cs="Arial"/>
          <w:kern w:val="0"/>
          <w:sz w:val="24"/>
          <w:szCs w:val="24"/>
        </w:rPr>
      </w:pPr>
      <w:r>
        <w:rPr>
          <w:rFonts w:hint="eastAsia" w:ascii="Arial" w:hAnsi="Arial" w:cs="Arial"/>
          <w:sz w:val="24"/>
          <w:szCs w:val="24"/>
        </w:rPr>
        <w:t>式中：</w:t>
      </w:r>
      <m:oMath>
        <m:nary>
          <m:naryPr>
            <m:chr m:val="∑"/>
            <m:limLoc m:val="undOvr"/>
            <m:subHide m:val="true"/>
            <m:supHide m:val="true"/>
            <m:ctrlPr>
              <w:rPr>
                <w:rFonts w:ascii="Cambria Math" w:hAnsi="Cambria Math" w:cs="Arial"/>
                <w:sz w:val="24"/>
                <w:szCs w:val="24"/>
              </w:rPr>
            </m:ctrlPr>
          </m:naryPr>
          <m:sub>
            <m:ctrlPr>
              <w:rPr>
                <w:rFonts w:ascii="Cambria Math" w:hAnsi="Cambria Math" w:cs="Arial"/>
                <w:sz w:val="24"/>
                <w:szCs w:val="24"/>
              </w:rPr>
            </m:ctrlPr>
          </m:sub>
          <m:sup>
            <m:ctrlPr>
              <w:rPr>
                <w:rFonts w:ascii="Cambria Math" w:hAnsi="Cambria Math" w:cs="Arial"/>
                <w:sz w:val="24"/>
                <w:szCs w:val="24"/>
              </w:rPr>
            </m:ctrlPr>
          </m:sup>
          <m:e>
            <m:sSub>
              <m:sSubPr>
                <m:ctrlPr>
                  <w:rPr>
                    <w:rFonts w:ascii="Cambria Math" w:hAnsi="Cambria Math" w:cs="Arial"/>
                    <w:i/>
                    <w:sz w:val="24"/>
                    <w:szCs w:val="24"/>
                  </w:rPr>
                </m:ctrlPr>
              </m:sSubPr>
              <m:e>
                <m:r>
                  <m:rPr/>
                  <w:rPr>
                    <w:rFonts w:ascii="Cambria Math" w:hAnsi="Cambria Math" w:cs="Arial"/>
                    <w:sz w:val="24"/>
                    <w:szCs w:val="24"/>
                  </w:rPr>
                  <m:t>M</m:t>
                </m:r>
                <m:ctrlPr>
                  <w:rPr>
                    <w:rFonts w:ascii="Cambria Math" w:hAnsi="Cambria Math" w:cs="Arial"/>
                    <w:i/>
                    <w:sz w:val="24"/>
                    <w:szCs w:val="24"/>
                  </w:rPr>
                </m:ctrlPr>
              </m:e>
              <m:sub>
                <m:r>
                  <m:rPr/>
                  <w:rPr>
                    <w:rFonts w:ascii="Cambria Math" w:hAnsi="Cambria Math" w:cs="Arial"/>
                    <w:sz w:val="24"/>
                    <w:szCs w:val="24"/>
                  </w:rPr>
                  <m:t>oK</m:t>
                </m:r>
                <m:ctrlPr>
                  <w:rPr>
                    <w:rFonts w:ascii="Cambria Math" w:hAnsi="Cambria Math" w:cs="Arial"/>
                    <w:i/>
                    <w:sz w:val="24"/>
                    <w:szCs w:val="24"/>
                  </w:rPr>
                </m:ctrlPr>
              </m:sub>
            </m:sSub>
            <m:ctrlPr>
              <w:rPr>
                <w:rFonts w:ascii="Cambria Math" w:hAnsi="Cambria Math" w:cs="Arial"/>
                <w:sz w:val="24"/>
                <w:szCs w:val="24"/>
              </w:rPr>
            </m:ctrlPr>
          </m:e>
        </m:nary>
        <m:r>
          <m:rPr/>
          <w:rPr>
            <w:rFonts w:ascii="Cambria Math" w:hAnsi="Cambria Math" w:cs="Arial"/>
            <w:sz w:val="24"/>
            <w:szCs w:val="24"/>
          </w:rPr>
          <m:t xml:space="preserve">ˉˉˉˉˉˉˉˉˉ </m:t>
        </m:r>
      </m:oMath>
      <w:r>
        <w:rPr>
          <w:rFonts w:ascii="Arial" w:hAnsi="Arial" w:cs="Arial"/>
          <w:kern w:val="0"/>
          <w:sz w:val="24"/>
          <w:szCs w:val="24"/>
        </w:rPr>
        <w:t>倾覆力系对墙前趾的总力矩标准值（</w:t>
      </w:r>
      <w:r>
        <w:rPr>
          <w:rFonts w:hint="eastAsia" w:ascii="Arial" w:hAnsi="Arial" w:cs="Arial"/>
          <w:kern w:val="0"/>
          <w:sz w:val="24"/>
          <w:szCs w:val="24"/>
        </w:rPr>
        <w:t>kN·m</w:t>
      </w:r>
      <w:r>
        <w:rPr>
          <w:rFonts w:ascii="Arial" w:hAnsi="Arial" w:cs="Arial"/>
          <w:kern w:val="0"/>
          <w:sz w:val="24"/>
          <w:szCs w:val="24"/>
        </w:rPr>
        <w:t>）；</w:t>
      </w:r>
    </w:p>
    <w:p>
      <w:pPr>
        <w:spacing w:line="360" w:lineRule="auto"/>
        <w:ind w:firstLine="480" w:firstLineChars="200"/>
        <w:rPr>
          <w:rFonts w:ascii="Arial" w:hAnsi="Arial" w:cs="Arial"/>
          <w:kern w:val="0"/>
          <w:sz w:val="24"/>
          <w:szCs w:val="24"/>
        </w:rPr>
      </w:pPr>
      <w:r>
        <w:rPr>
          <w:rFonts w:hint="eastAsia" w:ascii="Arial" w:hAnsi="Arial" w:cs="Arial"/>
          <w:kern w:val="0"/>
          <w:sz w:val="24"/>
          <w:szCs w:val="24"/>
        </w:rPr>
        <w:t xml:space="preserve">      </w:t>
      </w:r>
      <m:oMath>
        <m:nary>
          <m:naryPr>
            <m:chr m:val="∑"/>
            <m:limLoc m:val="undOvr"/>
            <m:subHide m:val="true"/>
            <m:supHide m:val="true"/>
            <m:ctrlPr>
              <w:rPr>
                <w:rFonts w:ascii="Cambria Math" w:hAnsi="Cambria Math" w:cs="Arial"/>
                <w:sz w:val="24"/>
                <w:szCs w:val="24"/>
              </w:rPr>
            </m:ctrlPr>
          </m:naryPr>
          <m:sub>
            <m:ctrlPr>
              <w:rPr>
                <w:rFonts w:ascii="Cambria Math" w:hAnsi="Cambria Math" w:cs="Arial"/>
                <w:sz w:val="24"/>
                <w:szCs w:val="24"/>
              </w:rPr>
            </m:ctrlPr>
          </m:sub>
          <m:sup>
            <m:ctrlPr>
              <w:rPr>
                <w:rFonts w:ascii="Cambria Math" w:hAnsi="Cambria Math" w:cs="Arial"/>
                <w:sz w:val="24"/>
                <w:szCs w:val="24"/>
              </w:rPr>
            </m:ctrlPr>
          </m:sup>
          <m:e>
            <m:sSub>
              <m:sSubPr>
                <m:ctrlPr>
                  <w:rPr>
                    <w:rFonts w:ascii="Cambria Math" w:hAnsi="Cambria Math" w:cs="Arial"/>
                    <w:i/>
                    <w:sz w:val="24"/>
                    <w:szCs w:val="24"/>
                  </w:rPr>
                </m:ctrlPr>
              </m:sSubPr>
              <m:e>
                <m:r>
                  <m:rPr/>
                  <w:rPr>
                    <w:rFonts w:ascii="Cambria Math" w:hAnsi="Cambria Math" w:cs="Arial"/>
                    <w:sz w:val="24"/>
                    <w:szCs w:val="24"/>
                  </w:rPr>
                  <m:t>M</m:t>
                </m:r>
                <m:ctrlPr>
                  <w:rPr>
                    <w:rFonts w:ascii="Cambria Math" w:hAnsi="Cambria Math" w:cs="Arial"/>
                    <w:i/>
                    <w:sz w:val="24"/>
                    <w:szCs w:val="24"/>
                  </w:rPr>
                </m:ctrlPr>
              </m:e>
              <m:sub>
                <m:r>
                  <m:rPr/>
                  <w:rPr>
                    <w:rFonts w:ascii="Cambria Math" w:hAnsi="Cambria Math" w:cs="Arial"/>
                    <w:sz w:val="24"/>
                    <w:szCs w:val="24"/>
                  </w:rPr>
                  <m:t>RK</m:t>
                </m:r>
                <m:ctrlPr>
                  <w:rPr>
                    <w:rFonts w:ascii="Cambria Math" w:hAnsi="Cambria Math" w:cs="Arial"/>
                    <w:i/>
                    <w:sz w:val="24"/>
                    <w:szCs w:val="24"/>
                  </w:rPr>
                </m:ctrlPr>
              </m:sub>
            </m:sSub>
            <m:ctrlPr>
              <w:rPr>
                <w:rFonts w:ascii="Cambria Math" w:hAnsi="Cambria Math" w:cs="Arial"/>
                <w:sz w:val="24"/>
                <w:szCs w:val="24"/>
              </w:rPr>
            </m:ctrlPr>
          </m:e>
        </m:nary>
        <m:r>
          <m:rPr/>
          <w:rPr>
            <w:rFonts w:ascii="Cambria Math" w:hAnsi="Cambria Math" w:cs="Arial"/>
            <w:sz w:val="24"/>
            <w:szCs w:val="24"/>
          </w:rPr>
          <m:t xml:space="preserve">ˉˉˉˉˉˉˉˉˉ </m:t>
        </m:r>
      </m:oMath>
      <w:r>
        <w:rPr>
          <w:rFonts w:hint="eastAsia" w:ascii="Arial" w:hAnsi="Arial" w:cs="Arial"/>
          <w:kern w:val="0"/>
          <w:sz w:val="24"/>
          <w:szCs w:val="24"/>
        </w:rPr>
        <w:t>稳定</w:t>
      </w:r>
      <w:r>
        <w:rPr>
          <w:rFonts w:ascii="Arial" w:hAnsi="Arial" w:cs="Arial"/>
          <w:kern w:val="0"/>
          <w:sz w:val="24"/>
          <w:szCs w:val="24"/>
        </w:rPr>
        <w:t>力系对墙前趾的总力矩标准值（</w:t>
      </w:r>
      <w:r>
        <w:rPr>
          <w:rFonts w:hint="eastAsia" w:ascii="Arial" w:hAnsi="Arial" w:cs="Arial"/>
          <w:kern w:val="0"/>
          <w:sz w:val="24"/>
          <w:szCs w:val="24"/>
        </w:rPr>
        <w:t>kN·m</w:t>
      </w:r>
      <w:r>
        <w:rPr>
          <w:rFonts w:ascii="Arial" w:hAnsi="Arial" w:cs="Arial"/>
          <w:kern w:val="0"/>
          <w:sz w:val="24"/>
          <w:szCs w:val="24"/>
        </w:rPr>
        <w:t>）；</w:t>
      </w:r>
    </w:p>
    <w:p>
      <w:pPr>
        <w:spacing w:line="360" w:lineRule="auto"/>
        <w:ind w:firstLine="480" w:firstLineChars="200"/>
        <w:rPr>
          <w:rFonts w:ascii="Arial" w:hAnsi="Arial" w:cs="Arial"/>
          <w:sz w:val="24"/>
          <w:szCs w:val="24"/>
        </w:rPr>
      </w:pPr>
      <w:r>
        <w:rPr>
          <w:rFonts w:hint="eastAsia" w:ascii="Arial" w:hAnsi="Arial" w:cs="Arial"/>
          <w:kern w:val="0"/>
          <w:sz w:val="24"/>
          <w:szCs w:val="24"/>
        </w:rPr>
        <w:t xml:space="preserve">      γ</w:t>
      </w:r>
      <w:r>
        <w:rPr>
          <w:rFonts w:hint="eastAsia" w:ascii="Arial" w:hAnsi="Arial" w:cs="Arial"/>
          <w:kern w:val="0"/>
          <w:sz w:val="24"/>
          <w:szCs w:val="24"/>
          <w:vertAlign w:val="subscript"/>
        </w:rPr>
        <w:t>R</w:t>
      </w:r>
      <m:oMath>
        <m:r>
          <m:rPr/>
          <w:rPr>
            <w:rFonts w:ascii="Cambria Math" w:hAnsi="Cambria Math" w:cs="Arial"/>
            <w:sz w:val="24"/>
            <w:szCs w:val="24"/>
          </w:rPr>
          <m:t>ˉˉˉˉˉˉˉˉ</m:t>
        </m:r>
      </m:oMath>
      <w:r>
        <w:rPr>
          <w:rFonts w:ascii="Arial" w:hAnsi="Arial" w:cs="Arial"/>
          <w:sz w:val="24"/>
          <w:szCs w:val="24"/>
        </w:rPr>
        <w:t>抗力分项系数，取1.5；进行抗震验算时取1.37；</w:t>
      </w:r>
    </w:p>
    <w:p>
      <w:pPr>
        <w:spacing w:line="360" w:lineRule="auto"/>
        <w:ind w:firstLine="480" w:firstLineChars="200"/>
        <w:rPr>
          <w:rFonts w:ascii="Arial" w:hAnsi="Arial" w:cs="Arial"/>
          <w:sz w:val="24"/>
          <w:szCs w:val="24"/>
        </w:rPr>
      </w:pPr>
      <w:r>
        <w:rPr>
          <w:rFonts w:hint="eastAsia" w:ascii="Arial" w:hAnsi="Arial" w:cs="Arial"/>
          <w:kern w:val="0"/>
          <w:sz w:val="24"/>
          <w:szCs w:val="24"/>
        </w:rPr>
        <w:t xml:space="preserve">      γ</w:t>
      </w:r>
      <w:r>
        <w:rPr>
          <w:rFonts w:hint="eastAsia" w:ascii="Arial" w:hAnsi="Arial" w:cs="Arial"/>
          <w:kern w:val="0"/>
          <w:sz w:val="24"/>
          <w:szCs w:val="24"/>
          <w:vertAlign w:val="subscript"/>
        </w:rPr>
        <w:t>s</w:t>
      </w:r>
      <m:oMath>
        <m:r>
          <m:rPr/>
          <w:rPr>
            <w:rFonts w:ascii="Cambria Math" w:hAnsi="Cambria Math" w:cs="Arial"/>
            <w:sz w:val="24"/>
            <w:szCs w:val="24"/>
          </w:rPr>
          <m:t>ˉˉˉˉˉˉˉˉ</m:t>
        </m:r>
      </m:oMath>
      <w:r>
        <w:rPr>
          <w:rFonts w:hint="eastAsia" w:ascii="Arial" w:hAnsi="Arial" w:cs="Arial"/>
          <w:sz w:val="24"/>
          <w:szCs w:val="24"/>
        </w:rPr>
        <w:t>作用</w:t>
      </w:r>
      <w:r>
        <w:rPr>
          <w:rFonts w:ascii="Arial" w:hAnsi="Arial" w:cs="Arial"/>
          <w:sz w:val="24"/>
          <w:szCs w:val="24"/>
        </w:rPr>
        <w:t>分项系数，取1.0；</w:t>
      </w:r>
    </w:p>
    <w:p>
      <w:pPr>
        <w:spacing w:line="360" w:lineRule="auto"/>
        <w:rPr>
          <w:rFonts w:ascii="Arial" w:hAnsi="Arial" w:cs="Arial"/>
          <w:sz w:val="24"/>
          <w:szCs w:val="24"/>
        </w:rPr>
      </w:pPr>
      <w:r>
        <w:rPr>
          <w:rFonts w:hint="eastAsia" w:ascii="Arial" w:hAnsi="Arial" w:cs="Arial"/>
          <w:sz w:val="24"/>
          <w:szCs w:val="24"/>
        </w:rPr>
        <w:t>10.3.8 挡土墙抗滑稳定性应符合下式要求：</w:t>
      </w:r>
    </w:p>
    <w:p>
      <w:pPr>
        <w:spacing w:line="360" w:lineRule="auto"/>
        <w:ind w:firstLine="2400" w:firstLineChars="1000"/>
        <w:jc w:val="left"/>
        <w:rPr>
          <w:rFonts w:ascii="Arial" w:hAnsi="Arial" w:cs="Arial"/>
          <w:sz w:val="24"/>
          <w:szCs w:val="24"/>
        </w:rPr>
      </w:pPr>
      <m:oMath>
        <m:sSub>
          <m:sSubPr>
            <m:ctrlPr>
              <w:rPr>
                <w:rFonts w:ascii="Cambria Math" w:hAnsi="Cambria Math" w:cs="Arial"/>
                <w:sz w:val="24"/>
                <w:szCs w:val="24"/>
              </w:rPr>
            </m:ctrlPr>
          </m:sSubPr>
          <m:e>
            <m:r>
              <m:rPr/>
              <w:rPr>
                <w:rFonts w:ascii="Cambria Math" w:hAnsi="Cambria Math" w:cs="Arial"/>
                <w:sz w:val="24"/>
                <w:szCs w:val="24"/>
              </w:rPr>
              <m:t>γ</m:t>
            </m:r>
            <m:ctrlPr>
              <w:rPr>
                <w:rFonts w:ascii="Cambria Math" w:hAnsi="Cambria Math" w:cs="Arial"/>
                <w:sz w:val="24"/>
                <w:szCs w:val="24"/>
              </w:rPr>
            </m:ctrlPr>
          </m:e>
          <m:sub>
            <m:r>
              <m:rPr/>
              <w:rPr>
                <w:rFonts w:ascii="Cambria Math" w:hAnsi="Cambria Math" w:cs="Arial"/>
                <w:sz w:val="24"/>
                <w:szCs w:val="24"/>
              </w:rPr>
              <m:t>S</m:t>
            </m:r>
            <m:ctrlPr>
              <w:rPr>
                <w:rFonts w:ascii="Cambria Math" w:hAnsi="Cambria Math" w:cs="Arial"/>
                <w:sz w:val="24"/>
                <w:szCs w:val="24"/>
              </w:rPr>
            </m:ctrlPr>
          </m:sub>
        </m:sSub>
        <m:nary>
          <m:naryPr>
            <m:chr m:val="∑"/>
            <m:limLoc m:val="undOvr"/>
            <m:subHide m:val="true"/>
            <m:supHide m:val="true"/>
            <m:ctrlPr>
              <w:rPr>
                <w:rFonts w:ascii="Cambria Math" w:hAnsi="Cambria Math" w:cs="Arial"/>
                <w:i/>
                <w:sz w:val="24"/>
                <w:szCs w:val="24"/>
              </w:rPr>
            </m:ctrlPr>
          </m:naryPr>
          <m:sub>
            <m:ctrlPr>
              <w:rPr>
                <w:rFonts w:ascii="Cambria Math" w:hAnsi="Cambria Math" w:cs="Arial"/>
                <w:i/>
                <w:sz w:val="24"/>
                <w:szCs w:val="24"/>
              </w:rPr>
            </m:ctrlPr>
          </m:sub>
          <m:sup>
            <m:ctrlPr>
              <w:rPr>
                <w:rFonts w:ascii="Cambria Math" w:hAnsi="Cambria Math" w:cs="Arial"/>
                <w:i/>
                <w:sz w:val="24"/>
                <w:szCs w:val="24"/>
              </w:rPr>
            </m:ctrlPr>
          </m:sup>
          <m:e>
            <m:sSub>
              <m:sSubPr>
                <m:ctrlPr>
                  <w:rPr>
                    <w:rFonts w:ascii="Cambria Math" w:hAnsi="Cambria Math" w:cs="Arial"/>
                    <w:i/>
                    <w:sz w:val="24"/>
                    <w:szCs w:val="24"/>
                  </w:rPr>
                </m:ctrlPr>
              </m:sSubPr>
              <m:e>
                <m:r>
                  <m:rPr/>
                  <w:rPr>
                    <w:rFonts w:ascii="Cambria Math" w:hAnsi="Cambria Math" w:cs="Arial"/>
                    <w:sz w:val="24"/>
                    <w:szCs w:val="24"/>
                  </w:rPr>
                  <m:t>H</m:t>
                </m:r>
                <m:ctrlPr>
                  <w:rPr>
                    <w:rFonts w:ascii="Cambria Math" w:hAnsi="Cambria Math" w:cs="Arial"/>
                    <w:i/>
                    <w:sz w:val="24"/>
                    <w:szCs w:val="24"/>
                  </w:rPr>
                </m:ctrlPr>
              </m:e>
              <m:sub>
                <m:r>
                  <m:rPr/>
                  <w:rPr>
                    <w:rFonts w:ascii="Cambria Math" w:hAnsi="Cambria Math" w:cs="Arial"/>
                    <w:sz w:val="24"/>
                    <w:szCs w:val="24"/>
                  </w:rPr>
                  <m:t>HK</m:t>
                </m:r>
                <m:ctrlPr>
                  <w:rPr>
                    <w:rFonts w:ascii="Cambria Math" w:hAnsi="Cambria Math" w:cs="Arial"/>
                    <w:i/>
                    <w:sz w:val="24"/>
                    <w:szCs w:val="24"/>
                  </w:rPr>
                </m:ctrlPr>
              </m:sub>
            </m:sSub>
            <m:ctrlPr>
              <w:rPr>
                <w:rFonts w:ascii="Cambria Math" w:hAnsi="Cambria Math" w:cs="Arial"/>
                <w:i/>
                <w:sz w:val="24"/>
                <w:szCs w:val="24"/>
              </w:rPr>
            </m:ctrlPr>
          </m:e>
        </m:nary>
        <m:r>
          <m:rPr/>
          <w:rPr>
            <w:rFonts w:ascii="Cambria Math" w:hAnsi="Cambria Math" w:cs="Arial"/>
            <w:sz w:val="24"/>
            <w:szCs w:val="24"/>
          </w:rPr>
          <m:t>≤</m:t>
        </m:r>
        <m:f>
          <m:fPr>
            <m:ctrlPr>
              <w:rPr>
                <w:rFonts w:ascii="Cambria Math" w:hAnsi="Cambria Math" w:cs="Arial"/>
                <w:i/>
                <w:sz w:val="24"/>
                <w:szCs w:val="24"/>
              </w:rPr>
            </m:ctrlPr>
          </m:fPr>
          <m:num>
            <m:r>
              <m:rPr/>
              <w:rPr>
                <w:rFonts w:ascii="Cambria Math" w:hAnsi="Cambria Math" w:cs="Arial"/>
                <w:sz w:val="24"/>
                <w:szCs w:val="24"/>
              </w:rPr>
              <m:t>1</m:t>
            </m:r>
            <m:ctrlPr>
              <w:rPr>
                <w:rFonts w:ascii="Cambria Math" w:hAnsi="Cambria Math" w:cs="Arial"/>
                <w:i/>
                <w:sz w:val="24"/>
                <w:szCs w:val="24"/>
              </w:rPr>
            </m:ctrlPr>
          </m:num>
          <m:den>
            <m:sSub>
              <m:sSubPr>
                <m:ctrlPr>
                  <w:rPr>
                    <w:rFonts w:ascii="Cambria Math" w:hAnsi="Cambria Math" w:cs="Arial"/>
                    <w:i/>
                    <w:sz w:val="24"/>
                    <w:szCs w:val="24"/>
                  </w:rPr>
                </m:ctrlPr>
              </m:sSubPr>
              <m:e>
                <m:r>
                  <m:rPr/>
                  <w:rPr>
                    <w:rFonts w:ascii="Cambria Math" w:hAnsi="Cambria Math" w:cs="Arial"/>
                    <w:sz w:val="24"/>
                    <w:szCs w:val="24"/>
                  </w:rPr>
                  <m:t>γ</m:t>
                </m:r>
                <m:ctrlPr>
                  <w:rPr>
                    <w:rFonts w:ascii="Cambria Math" w:hAnsi="Cambria Math" w:cs="Arial"/>
                    <w:i/>
                    <w:sz w:val="24"/>
                    <w:szCs w:val="24"/>
                  </w:rPr>
                </m:ctrlPr>
              </m:e>
              <m:sub>
                <m:r>
                  <m:rPr/>
                  <w:rPr>
                    <w:rFonts w:ascii="Cambria Math" w:hAnsi="Cambria Math" w:cs="Arial"/>
                    <w:sz w:val="24"/>
                    <w:szCs w:val="24"/>
                  </w:rPr>
                  <m:t>R</m:t>
                </m:r>
                <m:ctrlPr>
                  <w:rPr>
                    <w:rFonts w:ascii="Cambria Math" w:hAnsi="Cambria Math" w:cs="Arial"/>
                    <w:i/>
                    <w:sz w:val="24"/>
                    <w:szCs w:val="24"/>
                  </w:rPr>
                </m:ctrlPr>
              </m:sub>
            </m:sSub>
            <m:ctrlPr>
              <w:rPr>
                <w:rFonts w:ascii="Cambria Math" w:hAnsi="Cambria Math" w:cs="Arial"/>
                <w:i/>
                <w:sz w:val="24"/>
                <w:szCs w:val="24"/>
              </w:rPr>
            </m:ctrlPr>
          </m:den>
        </m:f>
        <m:d>
          <m:dPr>
            <m:ctrlPr>
              <w:rPr>
                <w:rFonts w:ascii="Cambria Math" w:hAnsi="Cambria Math" w:cs="Arial"/>
                <w:i/>
                <w:sz w:val="24"/>
                <w:szCs w:val="24"/>
              </w:rPr>
            </m:ctrlPr>
          </m:dPr>
          <m:e>
            <m:r>
              <m:rPr/>
              <w:rPr>
                <w:rFonts w:ascii="Cambria Math" w:hAnsi="Cambria Math" w:cs="Arial"/>
                <w:sz w:val="24"/>
                <w:szCs w:val="24"/>
              </w:rPr>
              <m:t>μ</m:t>
            </m:r>
            <m:nary>
              <m:naryPr>
                <m:chr m:val="∑"/>
                <m:limLoc m:val="undOvr"/>
                <m:subHide m:val="true"/>
                <m:supHide m:val="true"/>
                <m:ctrlPr>
                  <w:rPr>
                    <w:rFonts w:ascii="Cambria Math" w:hAnsi="Cambria Math" w:cs="Arial"/>
                    <w:i/>
                    <w:sz w:val="24"/>
                    <w:szCs w:val="24"/>
                  </w:rPr>
                </m:ctrlPr>
              </m:naryPr>
              <m:sub>
                <m:ctrlPr>
                  <w:rPr>
                    <w:rFonts w:ascii="Cambria Math" w:hAnsi="Cambria Math" w:cs="Arial"/>
                    <w:i/>
                    <w:sz w:val="24"/>
                    <w:szCs w:val="24"/>
                  </w:rPr>
                </m:ctrlPr>
              </m:sub>
              <m:sup>
                <m:ctrlPr>
                  <w:rPr>
                    <w:rFonts w:ascii="Cambria Math" w:hAnsi="Cambria Math" w:cs="Arial"/>
                    <w:i/>
                    <w:sz w:val="24"/>
                    <w:szCs w:val="24"/>
                  </w:rPr>
                </m:ctrlPr>
              </m:sup>
              <m:e>
                <m:sSub>
                  <m:sSubPr>
                    <m:ctrlPr>
                      <w:rPr>
                        <w:rFonts w:ascii="Cambria Math" w:hAnsi="Cambria Math" w:cs="Arial"/>
                        <w:i/>
                        <w:sz w:val="24"/>
                        <w:szCs w:val="24"/>
                      </w:rPr>
                    </m:ctrlPr>
                  </m:sSubPr>
                  <m:e>
                    <m:r>
                      <m:rPr/>
                      <w:rPr>
                        <w:rFonts w:ascii="Cambria Math" w:hAnsi="Cambria Math" w:cs="Arial"/>
                        <w:sz w:val="24"/>
                        <w:szCs w:val="24"/>
                      </w:rPr>
                      <m:t>G</m:t>
                    </m:r>
                    <m:ctrlPr>
                      <w:rPr>
                        <w:rFonts w:ascii="Cambria Math" w:hAnsi="Cambria Math" w:cs="Arial"/>
                        <w:i/>
                        <w:sz w:val="24"/>
                        <w:szCs w:val="24"/>
                      </w:rPr>
                    </m:ctrlPr>
                  </m:e>
                  <m:sub>
                    <m:r>
                      <m:rPr/>
                      <w:rPr>
                        <w:rFonts w:ascii="Cambria Math" w:hAnsi="Cambria Math" w:cs="Arial"/>
                        <w:sz w:val="24"/>
                        <w:szCs w:val="24"/>
                      </w:rPr>
                      <m:t>K</m:t>
                    </m:r>
                    <m:ctrlPr>
                      <w:rPr>
                        <w:rFonts w:ascii="Cambria Math" w:hAnsi="Cambria Math" w:cs="Arial"/>
                        <w:i/>
                        <w:sz w:val="24"/>
                        <w:szCs w:val="24"/>
                      </w:rPr>
                    </m:ctrlPr>
                  </m:sub>
                </m:sSub>
                <m:ctrlPr>
                  <w:rPr>
                    <w:rFonts w:ascii="Cambria Math" w:hAnsi="Cambria Math" w:cs="Arial"/>
                    <w:i/>
                    <w:sz w:val="24"/>
                    <w:szCs w:val="24"/>
                  </w:rPr>
                </m:ctrlPr>
              </m:e>
            </m:nary>
            <m:r>
              <m:rPr/>
              <w:rPr>
                <w:rFonts w:ascii="Cambria Math" w:hAnsi="Cambria Math" w:cs="Arial"/>
                <w:sz w:val="24"/>
                <w:szCs w:val="24"/>
              </w:rPr>
              <m:t>+λ</m:t>
            </m:r>
            <m:sSub>
              <m:sSubPr>
                <m:ctrlPr>
                  <w:rPr>
                    <w:rFonts w:ascii="Cambria Math" w:hAnsi="Cambria Math" w:cs="Arial"/>
                    <w:i/>
                    <w:sz w:val="24"/>
                    <w:szCs w:val="24"/>
                  </w:rPr>
                </m:ctrlPr>
              </m:sSubPr>
              <m:e>
                <m:r>
                  <m:rPr/>
                  <w:rPr>
                    <w:rFonts w:ascii="Cambria Math" w:hAnsi="Cambria Math" w:cs="Arial"/>
                    <w:sz w:val="24"/>
                    <w:szCs w:val="24"/>
                  </w:rPr>
                  <m:t>H</m:t>
                </m:r>
                <m:ctrlPr>
                  <w:rPr>
                    <w:rFonts w:ascii="Cambria Math" w:hAnsi="Cambria Math" w:cs="Arial"/>
                    <w:i/>
                    <w:sz w:val="24"/>
                    <w:szCs w:val="24"/>
                  </w:rPr>
                </m:ctrlPr>
              </m:e>
              <m:sub>
                <m:r>
                  <m:rPr/>
                  <w:rPr>
                    <w:rFonts w:ascii="Cambria Math" w:hAnsi="Cambria Math" w:cs="Arial"/>
                    <w:sz w:val="24"/>
                    <w:szCs w:val="24"/>
                  </w:rPr>
                  <m:t>QK</m:t>
                </m:r>
                <m:ctrlPr>
                  <w:rPr>
                    <w:rFonts w:ascii="Cambria Math" w:hAnsi="Cambria Math" w:cs="Arial"/>
                    <w:i/>
                    <w:sz w:val="24"/>
                    <w:szCs w:val="24"/>
                  </w:rPr>
                </m:ctrlPr>
              </m:sub>
            </m:sSub>
            <m:ctrlPr>
              <w:rPr>
                <w:rFonts w:ascii="Cambria Math" w:hAnsi="Cambria Math" w:cs="Arial"/>
                <w:i/>
                <w:sz w:val="24"/>
                <w:szCs w:val="24"/>
              </w:rPr>
            </m:ctrlPr>
          </m:e>
        </m:d>
      </m:oMath>
      <w:r>
        <w:rPr>
          <w:rFonts w:hint="eastAsia" w:ascii="Arial" w:hAnsi="Arial" w:cs="Arial"/>
          <w:sz w:val="24"/>
          <w:szCs w:val="24"/>
        </w:rPr>
        <w:t xml:space="preserve">      （10.3.8）</w:t>
      </w:r>
    </w:p>
    <w:p>
      <w:pPr>
        <w:spacing w:line="360" w:lineRule="auto"/>
        <w:ind w:left="1080" w:leftChars="200" w:hanging="660" w:hangingChars="275"/>
        <w:rPr>
          <w:rFonts w:ascii="Arial" w:hAnsi="Arial" w:cs="Arial"/>
          <w:kern w:val="0"/>
          <w:sz w:val="24"/>
          <w:szCs w:val="24"/>
        </w:rPr>
      </w:pPr>
      <w:r>
        <w:rPr>
          <w:rFonts w:hint="eastAsia" w:ascii="Arial" w:hAnsi="Arial" w:cs="Arial"/>
          <w:sz w:val="24"/>
          <w:szCs w:val="24"/>
        </w:rPr>
        <w:t>式中：</w:t>
      </w:r>
      <m:oMath>
        <m:nary>
          <m:naryPr>
            <m:chr m:val="∑"/>
            <m:limLoc m:val="undOvr"/>
            <m:subHide m:val="true"/>
            <m:supHide m:val="true"/>
            <m:ctrlPr>
              <w:rPr>
                <w:rFonts w:ascii="Cambria Math" w:hAnsi="Cambria Math" w:cs="Arial"/>
                <w:sz w:val="24"/>
                <w:szCs w:val="24"/>
              </w:rPr>
            </m:ctrlPr>
          </m:naryPr>
          <m:sub>
            <m:ctrlPr>
              <w:rPr>
                <w:rFonts w:ascii="Cambria Math" w:hAnsi="Cambria Math" w:cs="Arial"/>
                <w:sz w:val="24"/>
                <w:szCs w:val="24"/>
              </w:rPr>
            </m:ctrlPr>
          </m:sub>
          <m:sup>
            <m:ctrlPr>
              <w:rPr>
                <w:rFonts w:ascii="Cambria Math" w:hAnsi="Cambria Math" w:cs="Arial"/>
                <w:sz w:val="24"/>
                <w:szCs w:val="24"/>
              </w:rPr>
            </m:ctrlPr>
          </m:sup>
          <m:e>
            <m:sSub>
              <m:sSubPr>
                <m:ctrlPr>
                  <w:rPr>
                    <w:rFonts w:ascii="Cambria Math" w:hAnsi="Cambria Math" w:cs="Arial"/>
                    <w:i/>
                    <w:sz w:val="24"/>
                    <w:szCs w:val="24"/>
                  </w:rPr>
                </m:ctrlPr>
              </m:sSubPr>
              <m:e>
                <m:r>
                  <m:rPr/>
                  <w:rPr>
                    <w:rFonts w:ascii="Cambria Math" w:hAnsi="Cambria Math" w:cs="Arial"/>
                    <w:sz w:val="24"/>
                    <w:szCs w:val="24"/>
                  </w:rPr>
                  <m:t>H</m:t>
                </m:r>
                <m:ctrlPr>
                  <w:rPr>
                    <w:rFonts w:ascii="Cambria Math" w:hAnsi="Cambria Math" w:cs="Arial"/>
                    <w:i/>
                    <w:sz w:val="24"/>
                    <w:szCs w:val="24"/>
                  </w:rPr>
                </m:ctrlPr>
              </m:e>
              <m:sub>
                <m:r>
                  <m:rPr/>
                  <w:rPr>
                    <w:rFonts w:ascii="Cambria Math" w:hAnsi="Cambria Math" w:cs="Arial"/>
                    <w:sz w:val="24"/>
                    <w:szCs w:val="24"/>
                  </w:rPr>
                  <m:t>HK</m:t>
                </m:r>
                <m:ctrlPr>
                  <w:rPr>
                    <w:rFonts w:ascii="Cambria Math" w:hAnsi="Cambria Math" w:cs="Arial"/>
                    <w:i/>
                    <w:sz w:val="24"/>
                    <w:szCs w:val="24"/>
                  </w:rPr>
                </m:ctrlPr>
              </m:sub>
            </m:sSub>
            <m:ctrlPr>
              <w:rPr>
                <w:rFonts w:ascii="Cambria Math" w:hAnsi="Cambria Math" w:cs="Arial"/>
                <w:sz w:val="24"/>
                <w:szCs w:val="24"/>
              </w:rPr>
            </m:ctrlPr>
          </m:e>
        </m:nary>
        <m:r>
          <m:rPr/>
          <w:rPr>
            <w:rFonts w:ascii="Cambria Math" w:hAnsi="Cambria Math" w:cs="Arial"/>
            <w:sz w:val="24"/>
            <w:szCs w:val="24"/>
          </w:rPr>
          <m:t xml:space="preserve">ˉˉˉˉˉˉˉˉˉ </m:t>
        </m:r>
      </m:oMath>
      <w:r>
        <w:rPr>
          <w:rFonts w:ascii="Arial" w:hAnsi="Arial" w:cs="Arial"/>
          <w:sz w:val="24"/>
          <w:szCs w:val="24"/>
        </w:rPr>
        <w:t>墙后主动土压力水平分力标准值、墙后剩余水压力（即墙后水压力H</w:t>
      </w:r>
      <w:r>
        <w:rPr>
          <w:rFonts w:ascii="Arial" w:hAnsi="Arial" w:cs="Arial"/>
          <w:sz w:val="24"/>
          <w:szCs w:val="24"/>
          <w:vertAlign w:val="subscript"/>
        </w:rPr>
        <w:t>2</w:t>
      </w:r>
      <w:r>
        <w:rPr>
          <w:rFonts w:ascii="Arial" w:hAnsi="Arial" w:cs="Arial"/>
          <w:sz w:val="24"/>
          <w:szCs w:val="24"/>
        </w:rPr>
        <w:t>与墙前水压力H</w:t>
      </w:r>
      <w:r>
        <w:rPr>
          <w:rFonts w:ascii="Arial" w:hAnsi="Arial" w:cs="Arial"/>
          <w:sz w:val="24"/>
          <w:szCs w:val="24"/>
          <w:vertAlign w:val="subscript"/>
        </w:rPr>
        <w:t>1</w:t>
      </w:r>
      <w:r>
        <w:rPr>
          <w:rFonts w:ascii="Arial" w:hAnsi="Arial" w:cs="Arial"/>
          <w:sz w:val="24"/>
          <w:szCs w:val="24"/>
        </w:rPr>
        <w:t>之差，计算图形参见图11.4.3）标准值及其他滑动力系水平分力标准值之和</w:t>
      </w:r>
      <w:r>
        <w:rPr>
          <w:rFonts w:ascii="Arial" w:hAnsi="Arial" w:cs="Arial"/>
          <w:kern w:val="0"/>
          <w:sz w:val="24"/>
          <w:szCs w:val="24"/>
        </w:rPr>
        <w:t>（</w:t>
      </w:r>
      <w:r>
        <w:rPr>
          <w:rFonts w:hint="eastAsia" w:ascii="Arial" w:hAnsi="Arial" w:cs="Arial"/>
          <w:kern w:val="0"/>
          <w:sz w:val="24"/>
          <w:szCs w:val="24"/>
        </w:rPr>
        <w:t>kN</w:t>
      </w:r>
      <w:r>
        <w:rPr>
          <w:rFonts w:ascii="Arial" w:hAnsi="Arial" w:cs="Arial"/>
          <w:kern w:val="0"/>
          <w:sz w:val="24"/>
          <w:szCs w:val="24"/>
        </w:rPr>
        <w:t>）；</w:t>
      </w:r>
    </w:p>
    <w:p>
      <w:pPr>
        <w:spacing w:line="360" w:lineRule="auto"/>
        <w:ind w:left="1050" w:leftChars="500"/>
        <w:rPr>
          <w:rFonts w:ascii="Arial" w:hAnsi="Arial" w:cs="Arial"/>
          <w:kern w:val="0"/>
          <w:sz w:val="24"/>
          <w:szCs w:val="24"/>
        </w:rPr>
      </w:pPr>
      <w:r>
        <w:rPr>
          <w:rFonts w:ascii="Arial" w:hAnsi="Arial" w:cs="Arial"/>
          <w:i/>
          <w:sz w:val="24"/>
          <w:szCs w:val="24"/>
        </w:rPr>
        <w:t>H</w:t>
      </w:r>
      <w:r>
        <w:rPr>
          <w:rFonts w:ascii="Arial" w:hAnsi="Arial" w:cs="Arial"/>
          <w:sz w:val="24"/>
          <w:szCs w:val="24"/>
          <w:vertAlign w:val="subscript"/>
        </w:rPr>
        <w:t>QK</w:t>
      </w:r>
      <m:oMath>
        <m:r>
          <m:rPr>
            <m:sty m:val="p"/>
          </m:rPr>
          <w:rPr>
            <w:rFonts w:ascii="Cambria Math" w:hAnsi="Cambria Math" w:cs="Arial"/>
            <w:sz w:val="24"/>
            <w:szCs w:val="24"/>
            <w:vertAlign w:val="subscript"/>
          </w:rPr>
          <m:t xml:space="preserve">  </m:t>
        </m:r>
        <m:r>
          <m:rPr/>
          <w:rPr>
            <w:rFonts w:ascii="Cambria Math" w:hAnsi="Cambria Math" w:cs="Arial"/>
            <w:sz w:val="24"/>
            <w:szCs w:val="24"/>
          </w:rPr>
          <m:t xml:space="preserve">ˉˉˉˉˉˉˉˉˉ </m:t>
        </m:r>
      </m:oMath>
      <w:r>
        <w:rPr>
          <w:rFonts w:ascii="Arial" w:hAnsi="Arial" w:cs="Arial"/>
          <w:sz w:val="24"/>
          <w:szCs w:val="24"/>
        </w:rPr>
        <w:t>墙前被动土压力水平分力标准值</w:t>
      </w:r>
      <w:r>
        <w:rPr>
          <w:rFonts w:ascii="Arial" w:hAnsi="Arial" w:cs="Arial"/>
          <w:kern w:val="0"/>
          <w:sz w:val="24"/>
          <w:szCs w:val="24"/>
        </w:rPr>
        <w:t>（</w:t>
      </w:r>
      <w:r>
        <w:rPr>
          <w:rFonts w:hint="eastAsia" w:ascii="Arial" w:hAnsi="Arial" w:cs="Arial"/>
          <w:kern w:val="0"/>
          <w:sz w:val="24"/>
          <w:szCs w:val="24"/>
        </w:rPr>
        <w:t>kN</w:t>
      </w:r>
      <w:r>
        <w:rPr>
          <w:rFonts w:ascii="Arial" w:hAnsi="Arial" w:cs="Arial"/>
          <w:kern w:val="0"/>
          <w:sz w:val="24"/>
          <w:szCs w:val="24"/>
        </w:rPr>
        <w:t>）；</w:t>
      </w:r>
    </w:p>
    <w:p>
      <w:pPr>
        <w:spacing w:line="360" w:lineRule="auto"/>
        <w:ind w:left="1050" w:leftChars="500"/>
        <w:rPr>
          <w:rFonts w:ascii="Arial" w:hAnsi="Arial" w:cs="Arial"/>
          <w:kern w:val="0"/>
          <w:sz w:val="24"/>
          <w:szCs w:val="24"/>
        </w:rPr>
      </w:pPr>
      <m:oMath>
        <m:nary>
          <m:naryPr>
            <m:chr m:val="∑"/>
            <m:limLoc m:val="undOvr"/>
            <m:subHide m:val="true"/>
            <m:supHide m:val="true"/>
            <m:ctrlPr>
              <w:rPr>
                <w:rFonts w:ascii="Cambria Math" w:hAnsi="Cambria Math" w:cs="Arial"/>
                <w:sz w:val="24"/>
                <w:szCs w:val="24"/>
              </w:rPr>
            </m:ctrlPr>
          </m:naryPr>
          <m:sub>
            <m:ctrlPr>
              <w:rPr>
                <w:rFonts w:ascii="Cambria Math" w:hAnsi="Cambria Math" w:cs="Arial"/>
                <w:sz w:val="24"/>
                <w:szCs w:val="24"/>
              </w:rPr>
            </m:ctrlPr>
          </m:sub>
          <m:sup>
            <m:ctrlPr>
              <w:rPr>
                <w:rFonts w:ascii="Cambria Math" w:hAnsi="Cambria Math" w:cs="Arial"/>
                <w:sz w:val="24"/>
                <w:szCs w:val="24"/>
              </w:rPr>
            </m:ctrlPr>
          </m:sup>
          <m:e>
            <m:sSub>
              <m:sSubPr>
                <m:ctrlPr>
                  <w:rPr>
                    <w:rFonts w:ascii="Cambria Math" w:hAnsi="Cambria Math" w:cs="Arial"/>
                    <w:i/>
                    <w:sz w:val="24"/>
                    <w:szCs w:val="24"/>
                  </w:rPr>
                </m:ctrlPr>
              </m:sSubPr>
              <m:e>
                <m:r>
                  <m:rPr/>
                  <w:rPr>
                    <w:rFonts w:ascii="Cambria Math" w:hAnsi="Cambria Math" w:cs="Arial"/>
                    <w:sz w:val="24"/>
                    <w:szCs w:val="24"/>
                  </w:rPr>
                  <m:t>G</m:t>
                </m:r>
                <m:ctrlPr>
                  <w:rPr>
                    <w:rFonts w:ascii="Cambria Math" w:hAnsi="Cambria Math" w:cs="Arial"/>
                    <w:i/>
                    <w:sz w:val="24"/>
                    <w:szCs w:val="24"/>
                  </w:rPr>
                </m:ctrlPr>
              </m:e>
              <m:sub>
                <m:r>
                  <m:rPr/>
                  <w:rPr>
                    <w:rFonts w:ascii="Cambria Math" w:hAnsi="Cambria Math" w:cs="Arial"/>
                    <w:sz w:val="24"/>
                    <w:szCs w:val="24"/>
                  </w:rPr>
                  <m:t>k</m:t>
                </m:r>
                <m:ctrlPr>
                  <w:rPr>
                    <w:rFonts w:ascii="Cambria Math" w:hAnsi="Cambria Math" w:cs="Arial"/>
                    <w:i/>
                    <w:sz w:val="24"/>
                    <w:szCs w:val="24"/>
                  </w:rPr>
                </m:ctrlPr>
              </m:sub>
            </m:sSub>
            <m:ctrlPr>
              <w:rPr>
                <w:rFonts w:ascii="Cambria Math" w:hAnsi="Cambria Math" w:cs="Arial"/>
                <w:sz w:val="24"/>
                <w:szCs w:val="24"/>
              </w:rPr>
            </m:ctrlPr>
          </m:e>
        </m:nary>
        <m:r>
          <m:rPr/>
          <w:rPr>
            <w:rFonts w:ascii="Cambria Math" w:hAnsi="Cambria Math" w:cs="Arial"/>
            <w:sz w:val="24"/>
            <w:szCs w:val="24"/>
          </w:rPr>
          <m:t xml:space="preserve">ˉˉˉˉˉˉˉˉˉ </m:t>
        </m:r>
      </m:oMath>
      <w:r>
        <w:rPr>
          <w:rFonts w:hint="eastAsia" w:ascii="Arial" w:hAnsi="Arial" w:cs="Arial"/>
          <w:sz w:val="24"/>
          <w:szCs w:val="24"/>
        </w:rPr>
        <w:t>作用在基础底面上全部竖向力标准值</w:t>
      </w:r>
      <w:r>
        <w:rPr>
          <w:rFonts w:ascii="Arial" w:hAnsi="Arial" w:cs="Arial"/>
          <w:kern w:val="0"/>
          <w:sz w:val="24"/>
          <w:szCs w:val="24"/>
        </w:rPr>
        <w:t>（</w:t>
      </w:r>
      <w:r>
        <w:rPr>
          <w:rFonts w:hint="eastAsia" w:ascii="Arial" w:hAnsi="Arial" w:cs="Arial"/>
          <w:kern w:val="0"/>
          <w:sz w:val="24"/>
          <w:szCs w:val="24"/>
        </w:rPr>
        <w:t>kN</w:t>
      </w:r>
      <w:r>
        <w:rPr>
          <w:rFonts w:ascii="Arial" w:hAnsi="Arial" w:cs="Arial"/>
          <w:kern w:val="0"/>
          <w:sz w:val="24"/>
          <w:szCs w:val="24"/>
        </w:rPr>
        <w:t>）；</w:t>
      </w:r>
    </w:p>
    <w:p>
      <w:pPr>
        <w:spacing w:line="360" w:lineRule="auto"/>
        <w:ind w:left="1050" w:leftChars="500"/>
        <w:rPr>
          <w:rFonts w:ascii="Arial" w:hAnsi="Arial" w:cs="Arial"/>
          <w:kern w:val="0"/>
          <w:sz w:val="24"/>
          <w:szCs w:val="24"/>
        </w:rPr>
      </w:pPr>
      <w:r>
        <w:rPr>
          <w:rFonts w:hint="eastAsia" w:ascii="Arial" w:hAnsi="Arial" w:cs="Arial"/>
          <w:i/>
          <w:kern w:val="0"/>
          <w:sz w:val="24"/>
          <w:szCs w:val="24"/>
        </w:rPr>
        <w:t>μ</w:t>
      </w:r>
      <m:oMath>
        <m:r>
          <m:rPr>
            <m:sty m:val="p"/>
          </m:rPr>
          <w:rPr>
            <w:rFonts w:ascii="Cambria Math" w:hAnsi="Cambria Math" w:cs="Arial"/>
            <w:sz w:val="24"/>
            <w:szCs w:val="24"/>
            <w:vertAlign w:val="subscript"/>
          </w:rPr>
          <m:t xml:space="preserve">  </m:t>
        </m:r>
        <m:r>
          <m:rPr/>
          <w:rPr>
            <w:rFonts w:ascii="Cambria Math" w:hAnsi="Cambria Math" w:cs="Arial"/>
            <w:sz w:val="24"/>
            <w:szCs w:val="24"/>
          </w:rPr>
          <m:t xml:space="preserve">ˉˉˉˉˉˉˉˉˉ </m:t>
        </m:r>
      </m:oMath>
      <w:r>
        <w:rPr>
          <w:rFonts w:ascii="Arial" w:hAnsi="Arial" w:cs="Arial"/>
          <w:sz w:val="24"/>
          <w:szCs w:val="24"/>
        </w:rPr>
        <w:t>基础底面与地基土之间的摩擦系数，可由现场试验确定，在没有试验资料的情况下，可按表10.6.11-2规定的数值采用</w:t>
      </w:r>
      <w:r>
        <w:rPr>
          <w:rFonts w:ascii="Arial" w:hAnsi="Arial" w:cs="Arial"/>
          <w:kern w:val="0"/>
          <w:sz w:val="24"/>
          <w:szCs w:val="24"/>
        </w:rPr>
        <w:t>；</w:t>
      </w:r>
    </w:p>
    <w:p>
      <w:pPr>
        <w:spacing w:line="360" w:lineRule="auto"/>
        <w:ind w:left="1050" w:leftChars="500"/>
        <w:rPr>
          <w:rFonts w:ascii="Arial" w:hAnsi="Arial" w:cs="Arial"/>
          <w:sz w:val="24"/>
          <w:szCs w:val="24"/>
        </w:rPr>
      </w:pPr>
      <w:r>
        <w:rPr>
          <w:rFonts w:hint="eastAsia" w:ascii="Arial" w:hAnsi="Arial" w:cs="Arial"/>
          <w:i/>
          <w:kern w:val="0"/>
          <w:sz w:val="24"/>
          <w:szCs w:val="24"/>
        </w:rPr>
        <w:t>γ</w:t>
      </w:r>
      <w:r>
        <w:rPr>
          <w:rFonts w:hint="eastAsia" w:ascii="Arial" w:hAnsi="Arial" w:cs="Arial"/>
          <w:kern w:val="0"/>
          <w:sz w:val="24"/>
          <w:szCs w:val="24"/>
          <w:vertAlign w:val="subscript"/>
        </w:rPr>
        <w:t>S</w:t>
      </w:r>
      <m:oMath>
        <m:r>
          <m:rPr>
            <m:sty m:val="p"/>
          </m:rPr>
          <w:rPr>
            <w:rFonts w:ascii="Cambria Math" w:hAnsi="Cambria Math" w:cs="Arial"/>
            <w:sz w:val="24"/>
            <w:szCs w:val="24"/>
            <w:vertAlign w:val="subscript"/>
          </w:rPr>
          <m:t xml:space="preserve">  </m:t>
        </m:r>
        <m:r>
          <m:rPr/>
          <w:rPr>
            <w:rFonts w:ascii="Cambria Math" w:hAnsi="Cambria Math" w:cs="Arial"/>
            <w:sz w:val="24"/>
            <w:szCs w:val="24"/>
          </w:rPr>
          <m:t>ˉˉˉˉˉˉˉˉˉ</m:t>
        </m:r>
        <m:r>
          <m:rPr>
            <m:sty m:val="p"/>
          </m:rPr>
          <w:rPr>
            <w:rFonts w:ascii="Cambria Math" w:hAnsi="Cambria Math" w:cs="Arial"/>
            <w:sz w:val="24"/>
            <w:szCs w:val="24"/>
          </w:rPr>
          <m:t>作用分项系数，取1.0；</m:t>
        </m:r>
      </m:oMath>
    </w:p>
    <w:p>
      <w:pPr>
        <w:spacing w:line="360" w:lineRule="auto"/>
        <w:ind w:left="1050" w:leftChars="500"/>
        <w:rPr>
          <w:rFonts w:ascii="Arial" w:hAnsi="Arial" w:cs="Arial"/>
          <w:sz w:val="24"/>
          <w:szCs w:val="24"/>
        </w:rPr>
      </w:pPr>
      <w:r>
        <w:rPr>
          <w:rFonts w:hint="eastAsia" w:ascii="Arial" w:hAnsi="Arial" w:cs="Arial"/>
          <w:i/>
          <w:kern w:val="0"/>
          <w:sz w:val="24"/>
          <w:szCs w:val="24"/>
        </w:rPr>
        <w:t>γ</w:t>
      </w:r>
      <w:r>
        <w:rPr>
          <w:rFonts w:hint="eastAsia" w:ascii="Arial" w:hAnsi="Arial" w:cs="Arial"/>
          <w:kern w:val="0"/>
          <w:sz w:val="24"/>
          <w:szCs w:val="24"/>
          <w:vertAlign w:val="subscript"/>
        </w:rPr>
        <w:t>R</w:t>
      </w:r>
      <m:oMath>
        <m:r>
          <m:rPr>
            <m:sty m:val="p"/>
          </m:rPr>
          <w:rPr>
            <w:rFonts w:ascii="Cambria Math" w:hAnsi="Cambria Math" w:cs="Arial"/>
            <w:sz w:val="24"/>
            <w:szCs w:val="24"/>
            <w:vertAlign w:val="subscript"/>
          </w:rPr>
          <m:t xml:space="preserve">  </m:t>
        </m:r>
        <m:r>
          <m:rPr/>
          <w:rPr>
            <w:rFonts w:ascii="Cambria Math" w:hAnsi="Cambria Math" w:cs="Arial"/>
            <w:sz w:val="24"/>
            <w:szCs w:val="24"/>
          </w:rPr>
          <m:t>ˉˉˉˉˉˉˉˉˉ</m:t>
        </m:r>
        <m:r>
          <m:rPr>
            <m:sty m:val="p"/>
          </m:rPr>
          <w:rPr>
            <w:rFonts w:ascii="Cambria Math" w:hAnsi="Cambria Math" w:cs="Arial"/>
            <w:sz w:val="24"/>
            <w:szCs w:val="24"/>
          </w:rPr>
          <m:t>抗力分项系数，取1.3，进行抗震验算时取1.05；</m:t>
        </m:r>
      </m:oMath>
    </w:p>
    <w:p>
      <w:pPr>
        <w:spacing w:line="360" w:lineRule="auto"/>
        <w:ind w:left="1050" w:leftChars="500"/>
        <w:rPr>
          <w:rFonts w:ascii="Arial" w:hAnsi="Arial" w:cs="Arial"/>
          <w:sz w:val="24"/>
          <w:szCs w:val="24"/>
        </w:rPr>
      </w:pPr>
      <w:r>
        <w:rPr>
          <w:rFonts w:hint="eastAsia" w:ascii="Arial" w:hAnsi="Arial" w:cs="Arial"/>
          <w:i/>
          <w:kern w:val="0"/>
          <w:sz w:val="24"/>
          <w:szCs w:val="24"/>
        </w:rPr>
        <w:t>λ</w:t>
      </w:r>
      <m:oMath>
        <m:r>
          <m:rPr>
            <m:sty m:val="p"/>
          </m:rPr>
          <w:rPr>
            <w:rFonts w:ascii="Cambria Math" w:hAnsi="Cambria Math" w:cs="Arial"/>
            <w:sz w:val="24"/>
            <w:szCs w:val="24"/>
            <w:vertAlign w:val="subscript"/>
          </w:rPr>
          <m:t xml:space="preserve"> </m:t>
        </m:r>
        <m:r>
          <m:rPr/>
          <w:rPr>
            <w:rFonts w:ascii="Cambria Math" w:hAnsi="Cambria Math" w:cs="Arial"/>
            <w:sz w:val="24"/>
            <w:szCs w:val="24"/>
          </w:rPr>
          <m:t>ˉˉˉˉˉˉˉˉˉ</m:t>
        </m:r>
        <m:r>
          <m:rPr>
            <m:sty m:val="p"/>
          </m:rPr>
          <w:rPr>
            <w:rFonts w:ascii="Cambria Math" w:hAnsi="Cambria Math" w:cs="Arial"/>
            <w:sz w:val="24"/>
            <w:szCs w:val="24"/>
          </w:rPr>
          <m:t>修正系数，根据挡土墙埋深及基础土质情况取0～0.4</m:t>
        </m:r>
      </m:oMath>
      <w:r>
        <w:rPr>
          <w:rFonts w:hint="eastAsia" w:hAnsi="Cambria Math" w:cs="Arial"/>
          <w:i/>
          <w:sz w:val="24"/>
          <w:szCs w:val="24"/>
        </w:rPr>
        <w:t>。</w:t>
      </w:r>
    </w:p>
    <w:p>
      <w:pPr>
        <w:spacing w:line="360" w:lineRule="auto"/>
        <w:rPr>
          <w:rFonts w:ascii="Arial" w:hAnsi="Arial" w:cs="Arial"/>
          <w:sz w:val="24"/>
          <w:szCs w:val="24"/>
        </w:rPr>
      </w:pPr>
      <w:r>
        <w:rPr>
          <w:rFonts w:hint="eastAsia" w:ascii="Arial" w:hAnsi="Arial" w:cs="Arial"/>
          <w:sz w:val="24"/>
          <w:szCs w:val="24"/>
        </w:rPr>
        <w:t>1</w:t>
      </w:r>
      <w:r>
        <w:rPr>
          <w:rFonts w:ascii="Arial" w:hAnsi="Arial" w:cs="Arial"/>
          <w:sz w:val="24"/>
          <w:szCs w:val="24"/>
        </w:rPr>
        <w:t>2.3.2 采用自重或桩基抗浮的地下建筑应按下式进行抗浮稳定验算：</w:t>
      </w:r>
    </w:p>
    <w:p>
      <w:pPr>
        <w:spacing w:before="156" w:beforeLines="50" w:after="156" w:afterLines="50"/>
        <w:ind w:left="420" w:leftChars="200" w:right="420" w:rightChars="200" w:firstLine="1421" w:firstLineChars="677"/>
        <w:jc w:val="left"/>
        <w:rPr>
          <w:rFonts w:ascii="Arial" w:hAnsi="Arial" w:cs="Arial"/>
          <w:szCs w:val="21"/>
        </w:rPr>
      </w:pPr>
      <m:oMath>
        <m:sSub>
          <m:sSubPr>
            <m:ctrlPr>
              <w:rPr>
                <w:rFonts w:ascii="Cambria Math" w:hAnsi="Cambria Math" w:cs="Arial"/>
                <w:szCs w:val="21"/>
              </w:rPr>
            </m:ctrlPr>
          </m:sSubPr>
          <m:e>
            <m:r>
              <m:rPr>
                <m:sty m:val="p"/>
              </m:rPr>
              <w:rPr>
                <w:rFonts w:ascii="Cambria Math" w:hAnsi="Cambria Math" w:cs="Arial"/>
                <w:szCs w:val="21"/>
              </w:rPr>
              <m:t>F</m:t>
            </m:r>
            <m:ctrlPr>
              <w:rPr>
                <w:rFonts w:ascii="Cambria Math" w:hAnsi="Cambria Math" w:cs="Arial"/>
                <w:szCs w:val="21"/>
              </w:rPr>
            </m:ctrlPr>
          </m:e>
          <m:sub>
            <m:r>
              <m:rPr/>
              <w:rPr>
                <w:rFonts w:ascii="Cambria Math" w:hAnsi="Cambria Math" w:cs="Arial"/>
                <w:szCs w:val="21"/>
              </w:rPr>
              <m:t>f</m:t>
            </m:r>
            <m:ctrlPr>
              <w:rPr>
                <w:rFonts w:ascii="Cambria Math" w:hAnsi="Cambria Math" w:cs="Arial"/>
                <w:szCs w:val="21"/>
              </w:rPr>
            </m:ctrlPr>
          </m:sub>
        </m:sSub>
        <m:r>
          <m:rPr>
            <m:sty m:val="p"/>
          </m:rPr>
          <w:rPr>
            <w:rFonts w:ascii="Cambria Math" w:hAnsi="Cambria Math" w:cs="Arial"/>
            <w:szCs w:val="21"/>
          </w:rPr>
          <m:t>≤</m:t>
        </m:r>
        <m:f>
          <m:fPr>
            <m:ctrlPr>
              <w:rPr>
                <w:rFonts w:ascii="Cambria Math" w:hAnsi="Cambria Math" w:cs="Arial"/>
                <w:szCs w:val="21"/>
              </w:rPr>
            </m:ctrlPr>
          </m:fPr>
          <m:num>
            <m:sSub>
              <m:sSubPr>
                <m:ctrlPr>
                  <w:rPr>
                    <w:rFonts w:ascii="Cambria Math" w:hAnsi="Cambria Math" w:cs="Arial"/>
                    <w:szCs w:val="21"/>
                  </w:rPr>
                </m:ctrlPr>
              </m:sSubPr>
              <m:e>
                <m:r>
                  <m:rPr>
                    <m:sty m:val="p"/>
                  </m:rPr>
                  <w:rPr>
                    <w:rFonts w:ascii="Cambria Math" w:hAnsi="Cambria Math" w:cs="Arial"/>
                    <w:szCs w:val="21"/>
                  </w:rPr>
                  <m:t>G</m:t>
                </m:r>
                <m:ctrlPr>
                  <w:rPr>
                    <w:rFonts w:ascii="Cambria Math" w:hAnsi="Cambria Math" w:cs="Arial"/>
                    <w:szCs w:val="21"/>
                  </w:rPr>
                </m:ctrlPr>
              </m:e>
              <m:sub>
                <m:r>
                  <m:rPr/>
                  <w:rPr>
                    <w:rFonts w:ascii="Cambria Math" w:hAnsi="Cambria Math" w:cs="Arial"/>
                    <w:szCs w:val="21"/>
                  </w:rPr>
                  <m:t>k</m:t>
                </m:r>
                <m:ctrlPr>
                  <w:rPr>
                    <w:rFonts w:ascii="Cambria Math" w:hAnsi="Cambria Math" w:cs="Arial"/>
                    <w:szCs w:val="21"/>
                  </w:rPr>
                </m:ctrlPr>
              </m:sub>
            </m:sSub>
            <m:ctrlPr>
              <w:rPr>
                <w:rFonts w:ascii="Cambria Math" w:hAnsi="Cambria Math" w:cs="Arial"/>
                <w:szCs w:val="21"/>
              </w:rPr>
            </m:ctrlPr>
          </m:num>
          <m:den>
            <m:sSub>
              <m:sSubPr>
                <m:ctrlPr>
                  <w:rPr>
                    <w:rFonts w:ascii="Cambria Math" w:hAnsi="Cambria Math" w:cs="Arial"/>
                    <w:i/>
                    <w:szCs w:val="21"/>
                  </w:rPr>
                </m:ctrlPr>
              </m:sSubPr>
              <m:e>
                <m:r>
                  <m:rPr/>
                  <w:rPr>
                    <w:rFonts w:ascii="Cambria Math" w:hAnsi="Cambria Math" w:cs="Arial"/>
                    <w:szCs w:val="21"/>
                  </w:rPr>
                  <m:t>γ</m:t>
                </m:r>
                <m:ctrlPr>
                  <w:rPr>
                    <w:rFonts w:ascii="Cambria Math" w:hAnsi="Cambria Math" w:cs="Arial"/>
                    <w:i/>
                    <w:szCs w:val="21"/>
                  </w:rPr>
                </m:ctrlPr>
              </m:e>
              <m:sub>
                <m:r>
                  <m:rPr/>
                  <w:rPr>
                    <w:rFonts w:ascii="Cambria Math" w:hAnsi="Cambria Math" w:cs="Arial"/>
                    <w:szCs w:val="21"/>
                  </w:rPr>
                  <m:t>f</m:t>
                </m:r>
                <m:ctrlPr>
                  <w:rPr>
                    <w:rFonts w:ascii="Cambria Math" w:hAnsi="Cambria Math" w:cs="Arial"/>
                    <w:i/>
                    <w:szCs w:val="21"/>
                  </w:rPr>
                </m:ctrlPr>
              </m:sub>
            </m:sSub>
            <m:ctrlPr>
              <w:rPr>
                <w:rFonts w:ascii="Cambria Math" w:hAnsi="Cambria Math" w:cs="Arial"/>
                <w:szCs w:val="21"/>
              </w:rPr>
            </m:ctrlPr>
          </m:den>
        </m:f>
        <m:r>
          <m:rPr/>
          <w:rPr>
            <w:rFonts w:ascii="Cambria Math" w:hAnsi="Cambria Math" w:cs="Arial"/>
            <w:szCs w:val="21"/>
          </w:rPr>
          <m:t>+n</m:t>
        </m:r>
        <m:sSubSup>
          <m:sSubSupPr>
            <m:ctrlPr>
              <w:rPr>
                <w:rFonts w:ascii="Cambria Math" w:hAnsi="Cambria Math" w:cs="Arial"/>
                <w:i/>
                <w:szCs w:val="21"/>
              </w:rPr>
            </m:ctrlPr>
          </m:sSubSupPr>
          <m:e>
            <m:r>
              <m:rPr/>
              <w:rPr>
                <w:rFonts w:ascii="Cambria Math" w:hAnsi="Cambria Math" w:cs="Arial"/>
                <w:szCs w:val="21"/>
              </w:rPr>
              <m:t>R</m:t>
            </m:r>
            <m:ctrlPr>
              <w:rPr>
                <w:rFonts w:ascii="Cambria Math" w:hAnsi="Cambria Math" w:cs="Arial"/>
                <w:i/>
                <w:szCs w:val="21"/>
              </w:rPr>
            </m:ctrlPr>
          </m:e>
          <m:sub>
            <m:r>
              <m:rPr/>
              <w:rPr>
                <w:rFonts w:ascii="Cambria Math" w:hAnsi="Cambria Math" w:cs="Arial"/>
                <w:szCs w:val="21"/>
              </w:rPr>
              <m:t>d</m:t>
            </m:r>
            <m:ctrlPr>
              <w:rPr>
                <w:rFonts w:ascii="Cambria Math" w:hAnsi="Cambria Math" w:cs="Arial"/>
                <w:i/>
                <w:szCs w:val="21"/>
              </w:rPr>
            </m:ctrlPr>
          </m:sub>
          <m:sup>
            <m:r>
              <m:rPr/>
              <w:rPr>
                <w:rFonts w:ascii="Cambria Math" w:hAnsi="Cambria Math" w:cs="Arial"/>
                <w:szCs w:val="21"/>
              </w:rPr>
              <m:t>'</m:t>
            </m:r>
            <m:ctrlPr>
              <w:rPr>
                <w:rFonts w:ascii="Cambria Math" w:hAnsi="Cambria Math" w:cs="Arial"/>
                <w:i/>
                <w:szCs w:val="21"/>
              </w:rPr>
            </m:ctrlPr>
          </m:sup>
        </m:sSubSup>
      </m:oMath>
      <w:r>
        <w:rPr>
          <w:rFonts w:hint="eastAsia" w:ascii="Arial" w:hAnsi="Arial" w:cs="Arial"/>
          <w:szCs w:val="21"/>
        </w:rPr>
        <w:t xml:space="preserve">          (12.3.2-1)</w:t>
      </w:r>
    </w:p>
    <w:p>
      <w:pPr>
        <w:spacing w:before="156" w:beforeLines="50" w:after="156" w:afterLines="50"/>
        <w:ind w:right="420" w:rightChars="200" w:firstLine="1841" w:firstLineChars="877"/>
        <w:jc w:val="left"/>
        <w:rPr>
          <w:rFonts w:ascii="Arial" w:hAnsi="Arial" w:cs="Arial" w:eastAsiaTheme="minorEastAsia"/>
          <w:szCs w:val="21"/>
        </w:rPr>
      </w:pPr>
      <m:oMath>
        <m:sSub>
          <m:sSubPr>
            <m:ctrlPr>
              <w:rPr>
                <w:rFonts w:ascii="Cambria Math" w:hAnsi="Cambria Math" w:eastAsia="Cambria Math" w:cs="Arial"/>
                <w:szCs w:val="21"/>
              </w:rPr>
            </m:ctrlPr>
          </m:sSubPr>
          <m:e>
            <m:r>
              <m:rPr>
                <m:sty m:val="p"/>
              </m:rPr>
              <w:rPr>
                <w:rFonts w:ascii="Cambria Math" w:hAnsi="Cambria Math" w:eastAsia="Cambria Math" w:cs="Arial"/>
                <w:szCs w:val="21"/>
              </w:rPr>
              <m:t>F</m:t>
            </m:r>
            <m:ctrlPr>
              <w:rPr>
                <w:rFonts w:ascii="Cambria Math" w:hAnsi="Cambria Math" w:eastAsia="Cambria Math" w:cs="Arial"/>
                <w:szCs w:val="21"/>
              </w:rPr>
            </m:ctrlPr>
          </m:e>
          <m:sub>
            <m:r>
              <m:rPr/>
              <w:rPr>
                <w:rFonts w:ascii="Cambria Math" w:hAnsi="Cambria Math" w:eastAsia="Cambria Math" w:cs="Arial"/>
                <w:szCs w:val="21"/>
              </w:rPr>
              <m:t>f</m:t>
            </m:r>
            <m:ctrlPr>
              <w:rPr>
                <w:rFonts w:ascii="Cambria Math" w:hAnsi="Cambria Math" w:eastAsia="Cambria Math" w:cs="Arial"/>
                <w:szCs w:val="21"/>
              </w:rPr>
            </m:ctrlPr>
          </m:sub>
        </m:sSub>
        <m:r>
          <m:rPr/>
          <w:rPr>
            <w:rFonts w:ascii="Cambria Math" w:hAnsi="Cambria Math" w:eastAsia="Cambria Math" w:cs="Arial"/>
            <w:szCs w:val="21"/>
          </w:rPr>
          <m:t>=</m:t>
        </m:r>
        <m:sSub>
          <m:sSubPr>
            <m:ctrlPr>
              <w:rPr>
                <w:rFonts w:ascii="Cambria Math" w:hAnsi="Cambria Math" w:eastAsia="Cambria Math" w:cs="Arial"/>
                <w:i/>
                <w:szCs w:val="21"/>
              </w:rPr>
            </m:ctrlPr>
          </m:sSubPr>
          <m:e>
            <m:r>
              <m:rPr/>
              <w:rPr>
                <w:rFonts w:ascii="Cambria Math" w:hAnsi="Cambria Math" w:eastAsia="Cambria Math" w:cs="Arial"/>
                <w:szCs w:val="21"/>
              </w:rPr>
              <m:t>γ</m:t>
            </m:r>
            <m:ctrlPr>
              <w:rPr>
                <w:rFonts w:ascii="Cambria Math" w:hAnsi="Cambria Math" w:eastAsia="Cambria Math" w:cs="Arial"/>
                <w:i/>
                <w:szCs w:val="21"/>
              </w:rPr>
            </m:ctrlPr>
          </m:e>
          <m:sub>
            <m:r>
              <m:rPr/>
              <w:rPr>
                <w:rFonts w:ascii="Cambria Math" w:hAnsi="Cambria Math" w:eastAsia="Cambria Math" w:cs="Arial"/>
                <w:szCs w:val="21"/>
              </w:rPr>
              <m:t>b</m:t>
            </m:r>
            <m:ctrlPr>
              <w:rPr>
                <w:rFonts w:ascii="Cambria Math" w:hAnsi="Cambria Math" w:eastAsia="Cambria Math" w:cs="Arial"/>
                <w:i/>
                <w:szCs w:val="21"/>
              </w:rPr>
            </m:ctrlPr>
          </m:sub>
        </m:sSub>
        <m:sSub>
          <m:sSubPr>
            <m:ctrlPr>
              <w:rPr>
                <w:rFonts w:ascii="Cambria Math" w:hAnsi="Cambria Math" w:eastAsia="Cambria Math" w:cs="Arial"/>
                <w:i/>
                <w:szCs w:val="21"/>
              </w:rPr>
            </m:ctrlPr>
          </m:sSubPr>
          <m:e>
            <m:r>
              <m:rPr/>
              <w:rPr>
                <w:rFonts w:ascii="Cambria Math" w:hAnsi="Cambria Math" w:eastAsia="Cambria Math" w:cs="Arial"/>
                <w:szCs w:val="21"/>
              </w:rPr>
              <m:t>γ</m:t>
            </m:r>
            <m:ctrlPr>
              <w:rPr>
                <w:rFonts w:ascii="Cambria Math" w:hAnsi="Cambria Math" w:eastAsia="Cambria Math" w:cs="Arial"/>
                <w:i/>
                <w:szCs w:val="21"/>
              </w:rPr>
            </m:ctrlPr>
          </m:e>
          <m:sub>
            <m:r>
              <m:rPr/>
              <w:rPr>
                <w:rFonts w:ascii="Cambria Math" w:hAnsi="Cambria Math" w:eastAsia="Cambria Math" w:cs="Arial"/>
                <w:szCs w:val="21"/>
              </w:rPr>
              <m:t>w</m:t>
            </m:r>
            <m:ctrlPr>
              <w:rPr>
                <w:rFonts w:ascii="Cambria Math" w:hAnsi="Cambria Math" w:eastAsia="Cambria Math" w:cs="Arial"/>
                <w:i/>
                <w:szCs w:val="21"/>
              </w:rPr>
            </m:ctrlPr>
          </m:sub>
        </m:sSub>
        <m:r>
          <m:rPr/>
          <w:rPr>
            <w:rFonts w:ascii="Cambria Math" w:hAnsi="Cambria Math" w:eastAsia="Cambria Math" w:cs="Arial"/>
            <w:szCs w:val="21"/>
          </w:rPr>
          <m:t xml:space="preserve">V   </m:t>
        </m:r>
      </m:oMath>
      <w:r>
        <w:rPr>
          <w:rFonts w:hint="eastAsia" w:ascii="Arial" w:hAnsi="Arial" w:cs="Arial" w:eastAsiaTheme="minorEastAsia"/>
          <w:szCs w:val="21"/>
        </w:rPr>
        <w:t xml:space="preserve">           (12.3.2-2)</w:t>
      </w:r>
    </w:p>
    <w:p>
      <w:pPr>
        <w:spacing w:line="360" w:lineRule="auto"/>
        <w:ind w:firstLine="480" w:firstLineChars="200"/>
        <w:rPr>
          <w:rFonts w:ascii="Arial" w:hAnsi="Arial" w:cs="Arial"/>
          <w:kern w:val="0"/>
          <w:sz w:val="24"/>
          <w:szCs w:val="24"/>
        </w:rPr>
      </w:pPr>
      <w:r>
        <w:rPr>
          <w:rFonts w:ascii="Arial" w:hAnsi="Arial" w:cs="Arial"/>
          <w:kern w:val="0"/>
          <w:sz w:val="24"/>
          <w:szCs w:val="24"/>
        </w:rPr>
        <w:t>式中：F</w:t>
      </w:r>
      <w:r>
        <w:rPr>
          <w:rFonts w:ascii="Arial" w:hAnsi="Arial" w:cs="Arial"/>
          <w:kern w:val="0"/>
          <w:sz w:val="24"/>
          <w:szCs w:val="24"/>
          <w:vertAlign w:val="subscript"/>
        </w:rPr>
        <w:t>f</w:t>
      </w:r>
      <w:r>
        <w:rPr>
          <w:rFonts w:ascii="Arial" w:hAnsi="Arial" w:cs="Arial"/>
          <w:kern w:val="0"/>
          <w:sz w:val="24"/>
          <w:szCs w:val="24"/>
        </w:rPr>
        <w:t>——浮力设计值（kN）；</w:t>
      </w:r>
    </w:p>
    <w:p>
      <w:pPr>
        <w:spacing w:line="360" w:lineRule="auto"/>
        <w:ind w:left="1208" w:leftChars="575"/>
        <w:rPr>
          <w:rFonts w:ascii="Arial" w:hAnsi="Arial" w:cs="Arial"/>
          <w:kern w:val="0"/>
          <w:sz w:val="24"/>
          <w:szCs w:val="24"/>
        </w:rPr>
      </w:pPr>
      <w:r>
        <w:rPr>
          <w:rFonts w:ascii="Arial" w:hAnsi="Arial" w:cs="Arial"/>
          <w:kern w:val="0"/>
          <w:sz w:val="24"/>
          <w:szCs w:val="24"/>
        </w:rPr>
        <w:t>G</w:t>
      </w:r>
      <w:r>
        <w:rPr>
          <w:rFonts w:ascii="Arial" w:hAnsi="Arial" w:cs="Arial"/>
          <w:kern w:val="0"/>
          <w:sz w:val="24"/>
          <w:szCs w:val="24"/>
          <w:vertAlign w:val="subscript"/>
        </w:rPr>
        <w:t>k</w:t>
      </w:r>
      <w:r>
        <w:rPr>
          <w:rFonts w:ascii="Arial" w:hAnsi="Arial" w:cs="Arial"/>
          <w:kern w:val="0"/>
          <w:sz w:val="24"/>
          <w:szCs w:val="24"/>
        </w:rPr>
        <w:t>——地下建筑物自重标准值及其上作用的永久荷载标准值之和（kN），不包括可变荷载；</w:t>
      </w:r>
    </w:p>
    <w:p>
      <w:pPr>
        <w:spacing w:line="360" w:lineRule="auto"/>
        <w:ind w:left="1208" w:leftChars="575"/>
        <w:rPr>
          <w:rFonts w:ascii="Arial" w:hAnsi="Arial" w:cs="Arial"/>
          <w:kern w:val="0"/>
          <w:sz w:val="24"/>
          <w:szCs w:val="24"/>
        </w:rPr>
      </w:pPr>
      <w:r>
        <w:rPr>
          <w:rFonts w:ascii="Arial" w:hAnsi="Arial" w:cs="Arial"/>
          <w:kern w:val="0"/>
          <w:sz w:val="24"/>
          <w:szCs w:val="24"/>
        </w:rPr>
        <w:t>γ</w:t>
      </w:r>
      <w:r>
        <w:rPr>
          <w:rFonts w:ascii="Arial" w:hAnsi="Arial" w:cs="Arial"/>
          <w:kern w:val="0"/>
          <w:sz w:val="24"/>
          <w:szCs w:val="24"/>
          <w:vertAlign w:val="subscript"/>
        </w:rPr>
        <w:t>f</w:t>
      </w:r>
      <w:r>
        <w:rPr>
          <w:rFonts w:ascii="Arial" w:hAnsi="Arial" w:cs="Arial"/>
          <w:kern w:val="0"/>
          <w:sz w:val="24"/>
          <w:szCs w:val="24"/>
        </w:rPr>
        <w:t>——自重抗浮分项系数，可取1.05~1.1；当仅采用自重进行抗浮时，γ</w:t>
      </w:r>
      <w:r>
        <w:rPr>
          <w:rFonts w:ascii="Arial" w:hAnsi="Arial" w:cs="Arial"/>
          <w:kern w:val="0"/>
          <w:sz w:val="24"/>
          <w:szCs w:val="24"/>
          <w:vertAlign w:val="subscript"/>
        </w:rPr>
        <w:t>f</w:t>
      </w:r>
      <w:r>
        <w:rPr>
          <w:rFonts w:ascii="Arial" w:hAnsi="Arial" w:cs="Arial"/>
          <w:kern w:val="0"/>
          <w:sz w:val="24"/>
          <w:szCs w:val="24"/>
        </w:rPr>
        <w:t>不宜小于1.1；</w:t>
      </w:r>
    </w:p>
    <w:p>
      <w:pPr>
        <w:spacing w:line="360" w:lineRule="auto"/>
        <w:ind w:left="1208" w:leftChars="575"/>
        <w:rPr>
          <w:rFonts w:ascii="Arial" w:hAnsi="Arial" w:cs="Arial"/>
          <w:kern w:val="0"/>
          <w:sz w:val="24"/>
          <w:szCs w:val="24"/>
        </w:rPr>
      </w:pPr>
      <w:r>
        <w:rPr>
          <w:rFonts w:ascii="Arial" w:hAnsi="Arial" w:cs="Arial"/>
          <w:kern w:val="0"/>
          <w:sz w:val="24"/>
          <w:szCs w:val="24"/>
        </w:rPr>
        <w:t>n——抗拔桩桩数；</w:t>
      </w:r>
    </w:p>
    <w:p>
      <w:pPr>
        <w:spacing w:line="360" w:lineRule="auto"/>
        <w:ind w:left="1208" w:leftChars="575"/>
        <w:rPr>
          <w:rFonts w:ascii="Arial" w:hAnsi="Arial" w:cs="Arial"/>
          <w:kern w:val="0"/>
          <w:sz w:val="24"/>
          <w:szCs w:val="24"/>
        </w:rPr>
      </w:pPr>
      <w:r>
        <w:rPr>
          <w:rFonts w:ascii="Arial" w:hAnsi="Arial" w:cs="Arial"/>
          <w:kern w:val="0"/>
          <w:sz w:val="24"/>
          <w:szCs w:val="24"/>
        </w:rPr>
        <w:t>R’</w:t>
      </w:r>
      <w:r>
        <w:rPr>
          <w:rFonts w:ascii="Arial" w:hAnsi="Arial" w:cs="Arial"/>
          <w:kern w:val="0"/>
          <w:sz w:val="24"/>
          <w:szCs w:val="24"/>
          <w:vertAlign w:val="subscript"/>
        </w:rPr>
        <w:t>d</w:t>
      </w:r>
      <w:r>
        <w:rPr>
          <w:rFonts w:ascii="Arial" w:hAnsi="Arial" w:cs="Arial"/>
          <w:kern w:val="0"/>
          <w:sz w:val="24"/>
          <w:szCs w:val="24"/>
        </w:rPr>
        <w:t>——单桩抗拔承载力设计值（kN），应按</w:t>
      </w:r>
      <w:r>
        <w:rPr>
          <w:rFonts w:hint="eastAsia" w:ascii="Arial" w:hAnsi="Arial" w:cs="Arial"/>
          <w:kern w:val="0"/>
          <w:sz w:val="24"/>
          <w:szCs w:val="24"/>
        </w:rPr>
        <w:t>本标准</w:t>
      </w:r>
      <w:r>
        <w:rPr>
          <w:rFonts w:ascii="Arial" w:hAnsi="Arial" w:cs="Arial"/>
          <w:kern w:val="0"/>
          <w:sz w:val="24"/>
          <w:szCs w:val="24"/>
        </w:rPr>
        <w:t>7.2.9条确定；</w:t>
      </w:r>
    </w:p>
    <w:p>
      <w:pPr>
        <w:spacing w:line="360" w:lineRule="auto"/>
        <w:ind w:left="1208" w:leftChars="575"/>
        <w:rPr>
          <w:rFonts w:ascii="Arial" w:hAnsi="Arial" w:cs="Arial"/>
          <w:kern w:val="0"/>
          <w:sz w:val="24"/>
          <w:szCs w:val="24"/>
        </w:rPr>
      </w:pPr>
      <w:r>
        <w:rPr>
          <w:rFonts w:ascii="Arial" w:hAnsi="Arial" w:cs="Arial"/>
          <w:kern w:val="0"/>
          <w:sz w:val="24"/>
          <w:szCs w:val="24"/>
        </w:rPr>
        <w:t>γ</w:t>
      </w:r>
      <w:r>
        <w:rPr>
          <w:rFonts w:ascii="Arial" w:hAnsi="Arial" w:cs="Arial"/>
          <w:kern w:val="0"/>
          <w:sz w:val="24"/>
          <w:szCs w:val="24"/>
          <w:vertAlign w:val="subscript"/>
        </w:rPr>
        <w:t>b</w:t>
      </w:r>
      <w:r>
        <w:rPr>
          <w:rFonts w:ascii="Arial" w:hAnsi="Arial" w:cs="Arial"/>
          <w:kern w:val="0"/>
          <w:sz w:val="24"/>
          <w:szCs w:val="24"/>
        </w:rPr>
        <w:t>——浮力作用分项系数，取1.0；</w:t>
      </w:r>
    </w:p>
    <w:p>
      <w:pPr>
        <w:spacing w:line="360" w:lineRule="auto"/>
        <w:ind w:left="1208" w:leftChars="575"/>
        <w:rPr>
          <w:rFonts w:ascii="Arial" w:hAnsi="Arial" w:cs="Arial"/>
          <w:kern w:val="0"/>
          <w:sz w:val="24"/>
          <w:szCs w:val="24"/>
        </w:rPr>
      </w:pPr>
      <w:r>
        <w:rPr>
          <w:rFonts w:ascii="Arial" w:hAnsi="Arial" w:cs="Arial"/>
          <w:kern w:val="0"/>
          <w:sz w:val="24"/>
          <w:szCs w:val="24"/>
        </w:rPr>
        <w:t>γ</w:t>
      </w:r>
      <w:r>
        <w:rPr>
          <w:rFonts w:ascii="Arial" w:hAnsi="Arial" w:cs="Arial"/>
          <w:kern w:val="0"/>
          <w:sz w:val="24"/>
          <w:szCs w:val="24"/>
          <w:vertAlign w:val="subscript"/>
        </w:rPr>
        <w:t>w</w:t>
      </w:r>
      <w:r>
        <w:rPr>
          <w:rFonts w:ascii="Arial" w:hAnsi="Arial" w:cs="Arial"/>
          <w:kern w:val="0"/>
          <w:sz w:val="24"/>
          <w:szCs w:val="24"/>
        </w:rPr>
        <w:t>——水的重度（kN/m</w:t>
      </w:r>
      <w:r>
        <w:rPr>
          <w:rFonts w:ascii="Arial" w:hAnsi="Arial" w:cs="Arial"/>
          <w:kern w:val="0"/>
          <w:sz w:val="24"/>
          <w:szCs w:val="24"/>
          <w:vertAlign w:val="superscript"/>
        </w:rPr>
        <w:t>3</w:t>
      </w:r>
      <w:r>
        <w:rPr>
          <w:rFonts w:ascii="Arial" w:hAnsi="Arial" w:cs="Arial"/>
          <w:kern w:val="0"/>
          <w:sz w:val="24"/>
          <w:szCs w:val="24"/>
        </w:rPr>
        <w:t>），可按10kN/m</w:t>
      </w:r>
      <w:r>
        <w:rPr>
          <w:rFonts w:ascii="Arial" w:hAnsi="Arial" w:cs="Arial"/>
          <w:kern w:val="0"/>
          <w:sz w:val="24"/>
          <w:szCs w:val="24"/>
          <w:vertAlign w:val="superscript"/>
        </w:rPr>
        <w:t>3</w:t>
      </w:r>
      <w:r>
        <w:rPr>
          <w:rFonts w:ascii="Arial" w:hAnsi="Arial" w:cs="Arial"/>
          <w:kern w:val="0"/>
          <w:sz w:val="24"/>
          <w:szCs w:val="24"/>
        </w:rPr>
        <w:t>采用；</w:t>
      </w:r>
    </w:p>
    <w:p>
      <w:pPr>
        <w:spacing w:line="360" w:lineRule="auto"/>
        <w:ind w:left="1208" w:leftChars="575"/>
        <w:rPr>
          <w:rFonts w:ascii="Arial" w:hAnsi="Arial" w:cs="Arial"/>
          <w:kern w:val="0"/>
          <w:sz w:val="24"/>
          <w:szCs w:val="24"/>
        </w:rPr>
      </w:pPr>
      <w:r>
        <w:rPr>
          <w:rFonts w:ascii="Arial" w:hAnsi="Arial" w:cs="Arial"/>
          <w:kern w:val="0"/>
          <w:sz w:val="24"/>
          <w:szCs w:val="24"/>
        </w:rPr>
        <w:t>V——地下建筑物排开水的体积（m</w:t>
      </w:r>
      <w:r>
        <w:rPr>
          <w:rFonts w:ascii="Arial" w:hAnsi="Arial" w:cs="Arial"/>
          <w:kern w:val="0"/>
          <w:sz w:val="24"/>
          <w:szCs w:val="24"/>
          <w:vertAlign w:val="superscript"/>
        </w:rPr>
        <w:t>3</w:t>
      </w:r>
      <w:r>
        <w:rPr>
          <w:rFonts w:ascii="Arial" w:hAnsi="Arial" w:cs="Arial"/>
          <w:kern w:val="0"/>
          <w:sz w:val="24"/>
          <w:szCs w:val="24"/>
        </w:rPr>
        <w:t>）。</w:t>
      </w:r>
    </w:p>
    <w:p>
      <w:pPr>
        <w:pStyle w:val="3"/>
        <w:numPr>
          <w:ilvl w:val="0"/>
          <w:numId w:val="0"/>
        </w:numPr>
        <w:spacing w:beforeLines="0"/>
      </w:pPr>
      <w:r>
        <w:br w:type="page"/>
      </w:r>
      <w:bookmarkStart w:id="28" w:name="_Toc118119908"/>
      <w:bookmarkStart w:id="29" w:name="_Toc500329031"/>
      <w:bookmarkStart w:id="30" w:name="_Toc488139928"/>
      <w:bookmarkStart w:id="31" w:name="_Toc405369263"/>
      <w:r>
        <w:t>2.2</w:t>
      </w:r>
      <w:r>
        <w:rPr>
          <w:rFonts w:ascii="Arial" w:hAnsi="Arial" w:cs="Arial"/>
        </w:rPr>
        <w:t xml:space="preserve">  结构设计</w:t>
      </w:r>
      <w:bookmarkEnd w:id="28"/>
      <w:bookmarkEnd w:id="29"/>
      <w:bookmarkEnd w:id="30"/>
      <w:bookmarkEnd w:id="31"/>
    </w:p>
    <w:p>
      <w:pPr>
        <w:spacing w:line="360" w:lineRule="auto"/>
        <w:rPr>
          <w:rFonts w:ascii="Arial" w:hAnsi="Arial" w:eastAsia="黑体" w:cs="Arial"/>
          <w:sz w:val="24"/>
          <w:szCs w:val="24"/>
        </w:rPr>
      </w:pPr>
      <w:r>
        <w:rPr>
          <w:rFonts w:ascii="Arial" w:hAnsi="Arial" w:eastAsia="黑体" w:cs="Arial"/>
          <w:sz w:val="24"/>
          <w:szCs w:val="24"/>
        </w:rPr>
        <w:t>《</w:t>
      </w:r>
      <w:r>
        <w:rPr>
          <w:rFonts w:hint="eastAsia" w:ascii="Arial" w:hAnsi="Arial" w:eastAsia="黑体" w:cs="Arial"/>
          <w:sz w:val="24"/>
          <w:szCs w:val="24"/>
        </w:rPr>
        <w:t>高层建筑钢-混凝土混合结构设计规程</w:t>
      </w:r>
      <w:r>
        <w:rPr>
          <w:rFonts w:ascii="Arial" w:hAnsi="Arial" w:eastAsia="黑体" w:cs="Arial"/>
          <w:sz w:val="24"/>
          <w:szCs w:val="24"/>
        </w:rPr>
        <w:t>》</w:t>
      </w:r>
      <w:r>
        <w:rPr>
          <w:rFonts w:hint="eastAsia" w:ascii="Arial" w:hAnsi="Arial" w:eastAsia="黑体" w:cs="Arial"/>
          <w:sz w:val="24"/>
          <w:szCs w:val="24"/>
        </w:rPr>
        <w:t>DG/TJ08-015-2018</w:t>
      </w:r>
    </w:p>
    <w:p>
      <w:pPr>
        <w:spacing w:line="360" w:lineRule="auto"/>
        <w:rPr>
          <w:rFonts w:ascii="Arial" w:hAnsi="Arial" w:cs="Arial"/>
          <w:sz w:val="24"/>
          <w:szCs w:val="24"/>
        </w:rPr>
      </w:pPr>
      <w:r>
        <w:rPr>
          <w:rFonts w:hint="eastAsia" w:ascii="Arial" w:hAnsi="Arial" w:cs="Arial"/>
          <w:sz w:val="24"/>
          <w:szCs w:val="24"/>
        </w:rPr>
        <w:t>5.1.2</w:t>
      </w:r>
      <w:r>
        <w:rPr>
          <w:rFonts w:ascii="Arial" w:hAnsi="Arial" w:cs="Arial"/>
          <w:sz w:val="24"/>
          <w:szCs w:val="24"/>
        </w:rPr>
        <w:t xml:space="preserve"> </w:t>
      </w:r>
      <w:r>
        <w:rPr>
          <w:rFonts w:hint="eastAsia" w:ascii="Arial" w:hAnsi="Arial" w:cs="Arial"/>
          <w:sz w:val="24"/>
          <w:szCs w:val="24"/>
        </w:rPr>
        <w:t>混合结构高层建筑的最大适用高度应符合表5.1.2的规定。</w:t>
      </w:r>
    </w:p>
    <w:p>
      <w:pPr>
        <w:spacing w:line="360" w:lineRule="auto"/>
        <w:jc w:val="center"/>
        <w:rPr>
          <w:rFonts w:ascii="Arial" w:hAnsi="Arial" w:cs="Arial"/>
          <w:sz w:val="24"/>
          <w:szCs w:val="24"/>
        </w:rPr>
      </w:pPr>
      <w:r>
        <w:drawing>
          <wp:inline distT="0" distB="0" distL="114300" distR="114300">
            <wp:extent cx="4867910" cy="3329940"/>
            <wp:effectExtent l="0" t="0" r="8890" b="10160"/>
            <wp:docPr id="67"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7" name="图片 3"/>
                    <pic:cNvPicPr>
                      <a:picLocks noChangeAspect="true"/>
                    </pic:cNvPicPr>
                  </pic:nvPicPr>
                  <pic:blipFill>
                    <a:blip r:embed="rId32"/>
                    <a:stretch>
                      <a:fillRect/>
                    </a:stretch>
                  </pic:blipFill>
                  <pic:spPr>
                    <a:xfrm>
                      <a:off x="0" y="0"/>
                      <a:ext cx="4867910" cy="3329940"/>
                    </a:xfrm>
                    <a:prstGeom prst="rect">
                      <a:avLst/>
                    </a:prstGeom>
                    <a:noFill/>
                    <a:ln>
                      <a:noFill/>
                    </a:ln>
                  </pic:spPr>
                </pic:pic>
              </a:graphicData>
            </a:graphic>
          </wp:inline>
        </w:drawing>
      </w:r>
    </w:p>
    <w:p>
      <w:pPr>
        <w:spacing w:line="360" w:lineRule="auto"/>
        <w:ind w:right="420" w:rightChars="200"/>
        <w:jc w:val="left"/>
        <w:rPr>
          <w:rFonts w:ascii="Arial" w:hAnsi="Arial" w:cs="Arial"/>
          <w:sz w:val="24"/>
          <w:szCs w:val="24"/>
        </w:rPr>
      </w:pPr>
      <w:r>
        <w:rPr>
          <w:rFonts w:hint="eastAsia" w:ascii="Arial" w:hAnsi="Arial" w:cs="Arial"/>
          <w:sz w:val="24"/>
          <w:szCs w:val="24"/>
        </w:rPr>
        <w:t>5.1.4 抗震设计时，筒体结构的框架部分承担的地震剪力标准值应符合下列规定：</w:t>
      </w:r>
    </w:p>
    <w:p>
      <w:pPr>
        <w:spacing w:line="360" w:lineRule="auto"/>
        <w:ind w:firstLine="480" w:firstLineChars="200"/>
        <w:rPr>
          <w:rFonts w:ascii="Arial" w:hAnsi="Arial" w:cs="Arial"/>
          <w:sz w:val="24"/>
          <w:szCs w:val="24"/>
        </w:rPr>
      </w:pPr>
      <w:r>
        <w:rPr>
          <w:rFonts w:hint="eastAsia" w:ascii="Arial" w:hAnsi="Arial" w:cs="Arial"/>
          <w:sz w:val="24"/>
          <w:szCs w:val="24"/>
        </w:rPr>
        <w:t>1 框架部分按侧向刚度分配的地震剪力标准值的最大值不宜小于结构底部地震总剪力的10%。</w:t>
      </w:r>
    </w:p>
    <w:p>
      <w:pPr>
        <w:spacing w:line="360" w:lineRule="auto"/>
        <w:ind w:firstLine="480" w:firstLineChars="200"/>
        <w:rPr>
          <w:rFonts w:ascii="Arial" w:hAnsi="Arial" w:cs="Arial"/>
          <w:sz w:val="24"/>
          <w:szCs w:val="24"/>
        </w:rPr>
      </w:pPr>
      <w:r>
        <w:rPr>
          <w:rFonts w:hint="eastAsia" w:ascii="Arial" w:hAnsi="Arial" w:cs="Arial"/>
          <w:sz w:val="24"/>
          <w:szCs w:val="24"/>
        </w:rPr>
        <w:t>2 当各层框架部分按侧向刚度分配的地震剪力标准值的最大值小于结构底部地震总剪力的10%时，各层核心筒剪力墙的地震剪力标准值宜乘以增大系数1.1，但可不大于结构底部总剪力的标准值，框架梁和柱应按框架部分承担底部总剪力的10%调整剪力和弯矩；墙体的抗震构造措施应按抗震等级提高一级后采用，已为特一级的可不再提高。</w:t>
      </w:r>
    </w:p>
    <w:p>
      <w:pPr>
        <w:spacing w:line="360" w:lineRule="auto"/>
        <w:ind w:firstLine="480" w:firstLineChars="200"/>
        <w:rPr>
          <w:rFonts w:ascii="Arial" w:hAnsi="Arial" w:cs="Arial"/>
          <w:sz w:val="24"/>
          <w:szCs w:val="24"/>
        </w:rPr>
      </w:pPr>
      <w:r>
        <w:rPr>
          <w:rFonts w:hint="eastAsia" w:ascii="Arial" w:hAnsi="Arial" w:cs="Arial"/>
          <w:sz w:val="24"/>
          <w:szCs w:val="24"/>
        </w:rPr>
        <w:t>3 当各层框架部分按侧向刚度分配的地震剪力标准值小于结构底部总地震剪力标准值的20%，但其最大值不小于结构地震总剪力的10%时，框架部分按侧向刚度分配的楼层地震剪力应进行调整，调整后的剪力不应小于结构底部总地震剪力V</w:t>
      </w:r>
      <w:r>
        <w:rPr>
          <w:rFonts w:hint="eastAsia" w:ascii="Arial" w:hAnsi="Arial" w:cs="Arial"/>
          <w:sz w:val="24"/>
          <w:szCs w:val="24"/>
          <w:vertAlign w:val="subscript"/>
        </w:rPr>
        <w:t>0</w:t>
      </w:r>
      <w:r>
        <w:rPr>
          <w:rFonts w:hint="eastAsia" w:ascii="Arial" w:hAnsi="Arial" w:cs="Arial"/>
          <w:sz w:val="24"/>
          <w:szCs w:val="24"/>
        </w:rPr>
        <w:t>的20%和按侧向刚度分配的框架部分楼层地震剪力中最大值V</w:t>
      </w:r>
      <w:r>
        <w:rPr>
          <w:rFonts w:hint="eastAsia" w:ascii="Arial" w:hAnsi="Arial" w:cs="Arial"/>
          <w:sz w:val="24"/>
          <w:szCs w:val="24"/>
          <w:vertAlign w:val="subscript"/>
        </w:rPr>
        <w:t>fmax</w:t>
      </w:r>
      <w:r>
        <w:rPr>
          <w:rFonts w:hint="eastAsia" w:ascii="Arial" w:hAnsi="Arial" w:cs="Arial"/>
          <w:sz w:val="24"/>
          <w:szCs w:val="24"/>
        </w:rPr>
        <w:t>的1.5倍二者的较小值。按本款调整框架柱的地震剪力后，框架柱端弯矩应进行相应调整，与框架柱相连的框架梁端弯矩、剪力进行相应调整。</w:t>
      </w:r>
    </w:p>
    <w:p>
      <w:pPr>
        <w:spacing w:line="360" w:lineRule="auto"/>
        <w:ind w:firstLine="480" w:firstLineChars="200"/>
        <w:rPr>
          <w:rFonts w:ascii="Arial" w:hAnsi="Arial" w:cs="Arial"/>
          <w:sz w:val="24"/>
          <w:szCs w:val="24"/>
        </w:rPr>
      </w:pPr>
      <w:r>
        <w:rPr>
          <w:rFonts w:hint="eastAsia" w:ascii="Arial" w:hAnsi="Arial" w:cs="Arial"/>
          <w:sz w:val="24"/>
          <w:szCs w:val="24"/>
        </w:rPr>
        <w:t>有加强层时，本条框架部分分配的楼层地震剪力标准值的最大值不应包括加强层及其上、下层的框架剪力。</w:t>
      </w:r>
    </w:p>
    <w:p>
      <w:pPr>
        <w:spacing w:line="360" w:lineRule="auto"/>
        <w:rPr>
          <w:rFonts w:ascii="Arial" w:hAnsi="Arial" w:cs="Arial"/>
          <w:sz w:val="24"/>
          <w:szCs w:val="24"/>
        </w:rPr>
      </w:pPr>
      <w:r>
        <w:rPr>
          <w:rFonts w:hint="eastAsia" w:ascii="Arial" w:hAnsi="Arial" w:cs="Arial"/>
          <w:sz w:val="24"/>
          <w:szCs w:val="24"/>
        </w:rPr>
        <w:t>5.4.5 抗震设计时，型钢混凝土柱和混凝土剪力墙的轴压比不宜大于表5.4.5的限值。</w:t>
      </w:r>
    </w:p>
    <w:p>
      <w:pPr>
        <w:spacing w:before="156" w:beforeLines="50" w:after="156" w:afterLines="50"/>
        <w:ind w:right="420" w:rightChars="200"/>
        <w:jc w:val="center"/>
      </w:pPr>
      <w:r>
        <w:drawing>
          <wp:inline distT="0" distB="0" distL="114300" distR="114300">
            <wp:extent cx="4925695" cy="3283585"/>
            <wp:effectExtent l="0" t="0" r="1905" b="5715"/>
            <wp:docPr id="69"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9" name="图片 5"/>
                    <pic:cNvPicPr>
                      <a:picLocks noChangeAspect="true"/>
                    </pic:cNvPicPr>
                  </pic:nvPicPr>
                  <pic:blipFill>
                    <a:blip r:embed="rId33"/>
                    <a:stretch>
                      <a:fillRect/>
                    </a:stretch>
                  </pic:blipFill>
                  <pic:spPr>
                    <a:xfrm>
                      <a:off x="0" y="0"/>
                      <a:ext cx="4925695" cy="3283585"/>
                    </a:xfrm>
                    <a:prstGeom prst="rect">
                      <a:avLst/>
                    </a:prstGeom>
                    <a:noFill/>
                    <a:ln>
                      <a:noFill/>
                    </a:ln>
                  </pic:spPr>
                </pic:pic>
              </a:graphicData>
            </a:graphic>
          </wp:inline>
        </w:drawing>
      </w:r>
    </w:p>
    <w:p>
      <w:pPr>
        <w:spacing w:before="156" w:beforeLines="50" w:after="156" w:afterLines="50"/>
        <w:ind w:right="420" w:rightChars="200" w:firstLine="2162" w:firstLineChars="900"/>
        <w:jc w:val="left"/>
        <w:rPr>
          <w:rFonts w:ascii="Arial" w:hAnsi="Arial" w:cs="Arial"/>
          <w:sz w:val="24"/>
          <w:szCs w:val="24"/>
        </w:rPr>
      </w:pPr>
      <w:r>
        <w:rPr>
          <w:rFonts w:hint="eastAsia" w:ascii="Malgun Gothic" w:hAnsi="Malgun Gothic" w:eastAsia="Malgun Gothic" w:cs="Malgun Gothic"/>
          <w:b/>
          <w:bCs/>
          <w:sz w:val="24"/>
          <w:szCs w:val="24"/>
        </w:rPr>
        <w:t>μ</w:t>
      </w:r>
      <w:r>
        <w:rPr>
          <w:rFonts w:hint="eastAsia" w:ascii="Malgun Gothic" w:hAnsi="Malgun Gothic" w:eastAsia="Malgun Gothic" w:cs="Malgun Gothic"/>
          <w:sz w:val="24"/>
          <w:szCs w:val="24"/>
          <w:vertAlign w:val="subscript"/>
        </w:rPr>
        <w:t>N</w:t>
      </w:r>
      <w:r>
        <w:rPr>
          <w:rFonts w:hint="eastAsia" w:ascii="Malgun Gothic" w:hAnsi="Malgun Gothic" w:eastAsia="Malgun Gothic" w:cs="Malgun Gothic"/>
          <w:sz w:val="24"/>
          <w:szCs w:val="24"/>
        </w:rPr>
        <w:t>=N(f</w:t>
      </w:r>
      <w:r>
        <w:rPr>
          <w:rFonts w:hint="eastAsia" w:ascii="Malgun Gothic" w:hAnsi="Malgun Gothic" w:eastAsia="Malgun Gothic" w:cs="Malgun Gothic"/>
          <w:sz w:val="24"/>
          <w:szCs w:val="24"/>
          <w:vertAlign w:val="subscript"/>
        </w:rPr>
        <w:t xml:space="preserve">c </w:t>
      </w:r>
      <w:r>
        <w:rPr>
          <w:rFonts w:hint="eastAsia" w:ascii="Malgun Gothic" w:hAnsi="Malgun Gothic" w:eastAsia="Malgun Gothic" w:cs="Malgun Gothic"/>
          <w:sz w:val="24"/>
          <w:szCs w:val="24"/>
        </w:rPr>
        <w:t>A+f</w:t>
      </w:r>
      <w:r>
        <w:rPr>
          <w:rFonts w:hint="eastAsia" w:ascii="Malgun Gothic" w:hAnsi="Malgun Gothic" w:eastAsia="Malgun Gothic" w:cs="Malgun Gothic"/>
          <w:sz w:val="24"/>
          <w:szCs w:val="24"/>
          <w:vertAlign w:val="subscript"/>
        </w:rPr>
        <w:t xml:space="preserve">a </w:t>
      </w:r>
      <w:r>
        <w:rPr>
          <w:rFonts w:hint="eastAsia" w:ascii="Malgun Gothic" w:hAnsi="Malgun Gothic" w:eastAsia="Malgun Gothic" w:cs="Malgun Gothic"/>
          <w:sz w:val="24"/>
          <w:szCs w:val="24"/>
        </w:rPr>
        <w:t>A</w:t>
      </w:r>
      <w:r>
        <w:rPr>
          <w:rFonts w:hint="eastAsia" w:ascii="Malgun Gothic" w:hAnsi="Malgun Gothic" w:eastAsia="Malgun Gothic" w:cs="Malgun Gothic"/>
          <w:sz w:val="24"/>
          <w:szCs w:val="24"/>
          <w:vertAlign w:val="subscript"/>
        </w:rPr>
        <w:t>a</w:t>
      </w:r>
      <w:r>
        <w:rPr>
          <w:rFonts w:hint="eastAsia" w:ascii="Malgun Gothic" w:hAnsi="Malgun Gothic" w:eastAsia="Malgun Gothic" w:cs="Malgun Gothic"/>
          <w:sz w:val="24"/>
          <w:szCs w:val="24"/>
        </w:rPr>
        <w:t>)</w:t>
      </w:r>
      <w:r>
        <w:rPr>
          <w:rFonts w:hint="eastAsia" w:ascii="Arial" w:hAnsi="Arial" w:cs="Arial"/>
          <w:sz w:val="24"/>
          <w:szCs w:val="24"/>
        </w:rPr>
        <w:t xml:space="preserve">              （5.4.5）</w:t>
      </w:r>
    </w:p>
    <w:p>
      <w:pPr>
        <w:ind w:left="420" w:leftChars="200"/>
        <w:jc w:val="left"/>
        <w:rPr>
          <w:rFonts w:ascii="Arial" w:hAnsi="Arial" w:cs="Arial"/>
          <w:sz w:val="24"/>
          <w:szCs w:val="24"/>
        </w:rPr>
      </w:pPr>
      <w:r>
        <w:rPr>
          <w:rFonts w:hint="eastAsia" w:ascii="Arial" w:hAnsi="Arial" w:cs="Arial"/>
          <w:sz w:val="24"/>
          <w:szCs w:val="24"/>
        </w:rPr>
        <w:t>式中：μ</w:t>
      </w:r>
      <w:r>
        <w:rPr>
          <w:rFonts w:hint="eastAsia" w:ascii="Arial" w:hAnsi="Arial" w:cs="Arial"/>
          <w:sz w:val="24"/>
          <w:szCs w:val="24"/>
          <w:vertAlign w:val="subscript"/>
        </w:rPr>
        <w:t>N</w:t>
      </w:r>
      <w:r>
        <w:rPr>
          <w:rFonts w:hint="eastAsia" w:ascii="Arial" w:hAnsi="Arial" w:cs="Arial"/>
          <w:sz w:val="24"/>
          <w:szCs w:val="24"/>
        </w:rPr>
        <w:t>——型钢混凝土柱的轴压比；</w:t>
      </w:r>
    </w:p>
    <w:p>
      <w:pPr>
        <w:ind w:left="1208" w:leftChars="575"/>
        <w:jc w:val="left"/>
        <w:rPr>
          <w:rFonts w:ascii="Arial" w:hAnsi="Arial" w:cs="Arial"/>
          <w:sz w:val="24"/>
          <w:szCs w:val="24"/>
        </w:rPr>
      </w:pPr>
      <w:r>
        <w:rPr>
          <w:rFonts w:hint="eastAsia" w:ascii="Arial" w:hAnsi="Arial" w:cs="Arial"/>
          <w:sz w:val="24"/>
          <w:szCs w:val="24"/>
        </w:rPr>
        <w:t>N ——考虑地震组合的柱轴向力设计值；</w:t>
      </w:r>
    </w:p>
    <w:p>
      <w:pPr>
        <w:ind w:left="1208" w:leftChars="575"/>
        <w:jc w:val="left"/>
        <w:rPr>
          <w:rFonts w:ascii="Arial" w:hAnsi="Arial" w:cs="Arial"/>
          <w:sz w:val="24"/>
          <w:szCs w:val="24"/>
        </w:rPr>
      </w:pPr>
      <w:r>
        <w:rPr>
          <w:rFonts w:hint="eastAsia" w:ascii="Arial" w:hAnsi="Arial" w:cs="Arial"/>
          <w:sz w:val="24"/>
          <w:szCs w:val="24"/>
        </w:rPr>
        <w:t>f</w:t>
      </w:r>
      <w:r>
        <w:rPr>
          <w:rFonts w:hint="eastAsia" w:ascii="Arial" w:hAnsi="Arial" w:cs="Arial"/>
          <w:sz w:val="24"/>
          <w:szCs w:val="24"/>
          <w:vertAlign w:val="subscript"/>
        </w:rPr>
        <w:t xml:space="preserve">c </w:t>
      </w:r>
      <w:r>
        <w:rPr>
          <w:rFonts w:hint="eastAsia" w:ascii="Arial" w:hAnsi="Arial" w:cs="Arial"/>
          <w:sz w:val="24"/>
          <w:szCs w:val="24"/>
        </w:rPr>
        <w:t>——混凝土的轴心抗压强度设计值；</w:t>
      </w:r>
    </w:p>
    <w:p>
      <w:pPr>
        <w:ind w:left="1208" w:leftChars="575"/>
        <w:jc w:val="left"/>
        <w:rPr>
          <w:rFonts w:ascii="Arial" w:hAnsi="Arial" w:cs="Arial"/>
          <w:sz w:val="24"/>
          <w:szCs w:val="24"/>
        </w:rPr>
      </w:pPr>
      <w:r>
        <w:rPr>
          <w:rFonts w:hint="eastAsia" w:ascii="Arial" w:hAnsi="Arial" w:cs="Arial"/>
          <w:sz w:val="24"/>
          <w:szCs w:val="24"/>
        </w:rPr>
        <w:t>A ——扣除型钢后的混凝土截面面积；</w:t>
      </w:r>
    </w:p>
    <w:p>
      <w:pPr>
        <w:ind w:left="1208" w:leftChars="575"/>
        <w:jc w:val="left"/>
        <w:rPr>
          <w:rFonts w:ascii="Arial" w:hAnsi="Arial" w:cs="Arial"/>
          <w:sz w:val="24"/>
          <w:szCs w:val="24"/>
        </w:rPr>
      </w:pPr>
      <w:r>
        <w:rPr>
          <w:rFonts w:hint="eastAsia" w:ascii="Arial" w:hAnsi="Arial" w:cs="Arial"/>
          <w:sz w:val="24"/>
          <w:szCs w:val="24"/>
        </w:rPr>
        <w:t>f</w:t>
      </w:r>
      <w:r>
        <w:rPr>
          <w:rFonts w:hint="eastAsia" w:ascii="Arial" w:hAnsi="Arial" w:cs="Arial"/>
          <w:sz w:val="24"/>
          <w:szCs w:val="24"/>
          <w:vertAlign w:val="subscript"/>
        </w:rPr>
        <w:t>a</w:t>
      </w:r>
      <w:r>
        <w:rPr>
          <w:rFonts w:hint="eastAsia" w:ascii="Arial" w:hAnsi="Arial" w:cs="Arial"/>
          <w:sz w:val="24"/>
          <w:szCs w:val="24"/>
        </w:rPr>
        <w:t xml:space="preserve"> ——型钢的抗压强度设计值；</w:t>
      </w:r>
    </w:p>
    <w:p>
      <w:pPr>
        <w:ind w:left="1208" w:leftChars="575"/>
        <w:jc w:val="left"/>
        <w:rPr>
          <w:rFonts w:ascii="Arial" w:hAnsi="Arial" w:cs="Arial"/>
          <w:sz w:val="24"/>
          <w:szCs w:val="24"/>
        </w:rPr>
      </w:pPr>
      <w:r>
        <w:rPr>
          <w:rFonts w:hint="eastAsia" w:ascii="Arial" w:hAnsi="Arial" w:cs="Arial"/>
          <w:sz w:val="24"/>
          <w:szCs w:val="24"/>
        </w:rPr>
        <w:t>A</w:t>
      </w:r>
      <w:r>
        <w:rPr>
          <w:rFonts w:hint="eastAsia" w:ascii="Arial" w:hAnsi="Arial" w:cs="Arial"/>
          <w:sz w:val="24"/>
          <w:szCs w:val="24"/>
          <w:vertAlign w:val="subscript"/>
        </w:rPr>
        <w:t>a</w:t>
      </w:r>
      <w:r>
        <w:rPr>
          <w:rFonts w:hint="eastAsia" w:ascii="Arial" w:hAnsi="Arial" w:cs="Arial"/>
          <w:sz w:val="24"/>
          <w:szCs w:val="24"/>
        </w:rPr>
        <w:t xml:space="preserve"> ——型钢的截面面积；</w:t>
      </w:r>
    </w:p>
    <w:p>
      <w:pPr>
        <w:spacing w:line="360" w:lineRule="auto"/>
        <w:rPr>
          <w:rFonts w:ascii="Arial" w:hAnsi="Arial" w:cs="Arial"/>
          <w:sz w:val="24"/>
          <w:szCs w:val="24"/>
        </w:rPr>
      </w:pPr>
      <w:r>
        <w:rPr>
          <w:rFonts w:hint="eastAsia" w:ascii="Arial" w:hAnsi="Arial" w:cs="Arial"/>
          <w:sz w:val="24"/>
          <w:szCs w:val="24"/>
        </w:rPr>
        <w:t>7.3.3</w:t>
      </w:r>
      <w:r>
        <w:rPr>
          <w:rFonts w:ascii="Arial" w:hAnsi="Arial" w:cs="Arial"/>
          <w:sz w:val="24"/>
          <w:szCs w:val="24"/>
        </w:rPr>
        <w:t xml:space="preserve"> </w:t>
      </w:r>
      <w:r>
        <w:rPr>
          <w:rFonts w:hint="eastAsia" w:ascii="Arial" w:hAnsi="Arial" w:cs="Arial"/>
          <w:sz w:val="24"/>
          <w:szCs w:val="24"/>
        </w:rPr>
        <w:t>圆形钢管混凝土柱的套箍指标θ宜取0.5～2.5；套箍指标应按下式计算：</w:t>
      </w:r>
    </w:p>
    <w:p>
      <w:pPr>
        <w:ind w:right="420" w:rightChars="200"/>
        <w:jc w:val="left"/>
        <w:rPr>
          <w:rFonts w:hAnsi="Cambria Math" w:cs="Arial"/>
          <w:sz w:val="24"/>
          <w:szCs w:val="24"/>
        </w:rPr>
      </w:pPr>
      <w:r>
        <w:rPr>
          <w:rFonts w:hint="eastAsia" w:ascii="Arial" w:hAnsi="Arial" w:cs="Arial"/>
          <w:sz w:val="24"/>
          <w:szCs w:val="24"/>
        </w:rPr>
        <w:t xml:space="preserve">                      </w:t>
      </w:r>
      <m:oMath>
        <m:r>
          <m:rPr>
            <m:sty m:val="p"/>
          </m:rPr>
          <w:rPr>
            <w:rFonts w:ascii="Cambria Math" w:hAnsi="Cambria Math" w:cs="Arial"/>
            <w:sz w:val="24"/>
            <w:szCs w:val="24"/>
          </w:rPr>
          <m:t>θ</m:t>
        </m:r>
        <m:r>
          <m:rPr>
            <m:sty m:val="p"/>
          </m:rPr>
          <w:rPr>
            <w:rFonts w:hint="eastAsia" w:ascii="Cambria Math" w:hAnsi="Cambria Math" w:cs="Arial"/>
            <w:sz w:val="24"/>
            <w:szCs w:val="24"/>
          </w:rPr>
          <m:t>=</m:t>
        </m:r>
        <m:f>
          <m:fPr>
            <m:ctrlPr>
              <w:rPr>
                <w:rFonts w:hint="eastAsia" w:ascii="Cambria Math" w:hAnsi="Cambria Math" w:cs="Arial"/>
                <w:sz w:val="24"/>
                <w:szCs w:val="24"/>
              </w:rPr>
            </m:ctrlPr>
          </m:fPr>
          <m:num>
            <m:sSub>
              <m:sSubPr>
                <m:ctrlPr>
                  <w:rPr>
                    <w:rFonts w:hint="eastAsia" w:ascii="Cambria Math" w:hAnsi="Cambria Math" w:cs="Arial"/>
                    <w:sz w:val="24"/>
                    <w:szCs w:val="24"/>
                  </w:rPr>
                </m:ctrlPr>
              </m:sSubPr>
              <m:e>
                <m:r>
                  <m:rPr>
                    <m:sty m:val="p"/>
                  </m:rPr>
                  <w:rPr>
                    <w:rFonts w:hint="eastAsia" w:ascii="Cambria Math" w:hAnsi="Cambria Math" w:cs="Arial"/>
                    <w:sz w:val="24"/>
                    <w:szCs w:val="24"/>
                  </w:rPr>
                  <m:t>f</m:t>
                </m:r>
                <m:ctrlPr>
                  <w:rPr>
                    <w:rFonts w:hint="eastAsia" w:ascii="Cambria Math" w:hAnsi="Cambria Math" w:cs="Arial"/>
                    <w:sz w:val="24"/>
                    <w:szCs w:val="24"/>
                  </w:rPr>
                </m:ctrlPr>
              </m:e>
              <m:sub>
                <m:r>
                  <m:rPr>
                    <m:sty m:val="p"/>
                  </m:rPr>
                  <w:rPr>
                    <w:rFonts w:ascii="Cambria Math" w:hAnsi="Cambria Math" w:cs="Arial"/>
                    <w:sz w:val="24"/>
                    <w:szCs w:val="24"/>
                  </w:rPr>
                  <m:t>a</m:t>
                </m:r>
                <m:ctrlPr>
                  <w:rPr>
                    <w:rFonts w:hint="eastAsia" w:ascii="Cambria Math" w:hAnsi="Cambria Math" w:cs="Arial"/>
                    <w:sz w:val="24"/>
                    <w:szCs w:val="24"/>
                  </w:rPr>
                </m:ctrlPr>
              </m:sub>
            </m:sSub>
            <m:sSub>
              <m:sSubPr>
                <m:ctrlPr>
                  <w:rPr>
                    <w:rFonts w:hint="eastAsia" w:ascii="Cambria Math" w:hAnsi="Cambria Math" w:cs="Arial"/>
                    <w:sz w:val="24"/>
                    <w:szCs w:val="24"/>
                  </w:rPr>
                </m:ctrlPr>
              </m:sSubPr>
              <m:e>
                <m:r>
                  <m:rPr>
                    <m:sty m:val="p"/>
                  </m:rPr>
                  <w:rPr>
                    <w:rFonts w:ascii="Cambria Math" w:hAnsi="Cambria Math" w:cs="Arial"/>
                    <w:sz w:val="24"/>
                    <w:szCs w:val="24"/>
                  </w:rPr>
                  <m:t>A</m:t>
                </m:r>
                <m:ctrlPr>
                  <w:rPr>
                    <w:rFonts w:hint="eastAsia" w:ascii="Cambria Math" w:hAnsi="Cambria Math" w:cs="Arial"/>
                    <w:sz w:val="24"/>
                    <w:szCs w:val="24"/>
                  </w:rPr>
                </m:ctrlPr>
              </m:e>
              <m:sub>
                <m:r>
                  <m:rPr>
                    <m:sty m:val="p"/>
                  </m:rPr>
                  <w:rPr>
                    <w:rFonts w:ascii="Cambria Math" w:hAnsi="Cambria Math" w:cs="Arial"/>
                    <w:sz w:val="24"/>
                    <w:szCs w:val="24"/>
                  </w:rPr>
                  <m:t>a</m:t>
                </m:r>
                <m:ctrlPr>
                  <w:rPr>
                    <w:rFonts w:hint="eastAsia" w:ascii="Cambria Math" w:hAnsi="Cambria Math" w:cs="Arial"/>
                    <w:sz w:val="24"/>
                    <w:szCs w:val="24"/>
                  </w:rPr>
                </m:ctrlPr>
              </m:sub>
            </m:sSub>
            <m:ctrlPr>
              <w:rPr>
                <w:rFonts w:hint="eastAsia" w:ascii="Cambria Math" w:hAnsi="Cambria Math" w:cs="Arial"/>
                <w:sz w:val="24"/>
                <w:szCs w:val="24"/>
              </w:rPr>
            </m:ctrlPr>
          </m:num>
          <m:den>
            <m:sSub>
              <m:sSubPr>
                <m:ctrlPr>
                  <w:rPr>
                    <w:rFonts w:hint="eastAsia" w:ascii="Cambria Math" w:hAnsi="Cambria Math" w:cs="Arial"/>
                    <w:sz w:val="24"/>
                    <w:szCs w:val="24"/>
                  </w:rPr>
                </m:ctrlPr>
              </m:sSubPr>
              <m:e>
                <m:r>
                  <m:rPr>
                    <m:sty m:val="p"/>
                  </m:rPr>
                  <w:rPr>
                    <w:rFonts w:ascii="Cambria Math" w:hAnsi="Cambria Math" w:cs="Arial"/>
                    <w:sz w:val="24"/>
                    <w:szCs w:val="24"/>
                  </w:rPr>
                  <m:t>f</m:t>
                </m:r>
                <m:ctrlPr>
                  <w:rPr>
                    <w:rFonts w:hint="eastAsia" w:ascii="Cambria Math" w:hAnsi="Cambria Math" w:cs="Arial"/>
                    <w:sz w:val="24"/>
                    <w:szCs w:val="24"/>
                  </w:rPr>
                </m:ctrlPr>
              </m:e>
              <m:sub>
                <m:r>
                  <m:rPr>
                    <m:sty m:val="p"/>
                  </m:rPr>
                  <w:rPr>
                    <w:rFonts w:ascii="Cambria Math" w:hAnsi="Cambria Math" w:cs="Arial"/>
                    <w:sz w:val="24"/>
                    <w:szCs w:val="24"/>
                  </w:rPr>
                  <m:t>c</m:t>
                </m:r>
                <m:ctrlPr>
                  <w:rPr>
                    <w:rFonts w:hint="eastAsia" w:ascii="Cambria Math" w:hAnsi="Cambria Math" w:cs="Arial"/>
                    <w:sz w:val="24"/>
                    <w:szCs w:val="24"/>
                  </w:rPr>
                </m:ctrlPr>
              </m:sub>
            </m:sSub>
            <m:sSub>
              <m:sSubPr>
                <m:ctrlPr>
                  <w:rPr>
                    <w:rFonts w:hint="eastAsia" w:ascii="Cambria Math" w:hAnsi="Cambria Math" w:cs="Arial"/>
                    <w:sz w:val="24"/>
                    <w:szCs w:val="24"/>
                  </w:rPr>
                </m:ctrlPr>
              </m:sSubPr>
              <m:e>
                <m:r>
                  <m:rPr>
                    <m:sty m:val="p"/>
                  </m:rPr>
                  <w:rPr>
                    <w:rFonts w:ascii="Cambria Math" w:hAnsi="Cambria Math" w:cs="Arial"/>
                    <w:sz w:val="24"/>
                    <w:szCs w:val="24"/>
                  </w:rPr>
                  <m:t>A</m:t>
                </m:r>
                <m:ctrlPr>
                  <w:rPr>
                    <w:rFonts w:hint="eastAsia" w:ascii="Cambria Math" w:hAnsi="Cambria Math" w:cs="Arial"/>
                    <w:sz w:val="24"/>
                    <w:szCs w:val="24"/>
                  </w:rPr>
                </m:ctrlPr>
              </m:e>
              <m:sub>
                <m:r>
                  <m:rPr>
                    <m:sty m:val="p"/>
                  </m:rPr>
                  <w:rPr>
                    <w:rFonts w:ascii="Cambria Math" w:hAnsi="Cambria Math" w:cs="Arial"/>
                    <w:sz w:val="24"/>
                    <w:szCs w:val="24"/>
                  </w:rPr>
                  <m:t>c</m:t>
                </m:r>
                <m:ctrlPr>
                  <w:rPr>
                    <w:rFonts w:hint="eastAsia" w:ascii="Cambria Math" w:hAnsi="Cambria Math" w:cs="Arial"/>
                    <w:sz w:val="24"/>
                    <w:szCs w:val="24"/>
                  </w:rPr>
                </m:ctrlPr>
              </m:sub>
            </m:sSub>
            <m:ctrlPr>
              <w:rPr>
                <w:rFonts w:hint="eastAsia" w:ascii="Cambria Math" w:hAnsi="Cambria Math" w:cs="Arial"/>
                <w:sz w:val="24"/>
                <w:szCs w:val="24"/>
              </w:rPr>
            </m:ctrlPr>
          </m:den>
        </m:f>
      </m:oMath>
      <w:r>
        <w:rPr>
          <w:rFonts w:hint="eastAsia" w:hAnsi="Cambria Math" w:cs="Arial"/>
          <w:sz w:val="24"/>
          <w:szCs w:val="24"/>
        </w:rPr>
        <w:t xml:space="preserve">                   (7.3.3) </w:t>
      </w:r>
    </w:p>
    <w:p>
      <w:pPr>
        <w:ind w:left="420" w:leftChars="200"/>
        <w:jc w:val="left"/>
        <w:rPr>
          <w:rFonts w:ascii="Arial" w:hAnsi="Arial" w:cs="Arial"/>
          <w:sz w:val="24"/>
          <w:szCs w:val="24"/>
        </w:rPr>
      </w:pPr>
      <w:r>
        <w:rPr>
          <w:rFonts w:hint="eastAsia" w:hAnsi="Cambria Math" w:cs="Arial"/>
          <w:sz w:val="24"/>
          <w:szCs w:val="24"/>
        </w:rPr>
        <w:t>式中：</w:t>
      </w:r>
      <w:r>
        <w:rPr>
          <w:rFonts w:hint="eastAsia" w:ascii="宋体" w:hAnsi="宋体" w:cs="宋体"/>
          <w:sz w:val="24"/>
          <w:szCs w:val="24"/>
        </w:rPr>
        <w:t>A</w:t>
      </w:r>
      <w:r>
        <w:rPr>
          <w:rFonts w:hint="eastAsia" w:ascii="宋体" w:hAnsi="宋体" w:cs="宋体"/>
          <w:sz w:val="24"/>
          <w:szCs w:val="24"/>
          <w:vertAlign w:val="subscript"/>
        </w:rPr>
        <w:t>c</w:t>
      </w:r>
      <w:r>
        <w:rPr>
          <w:rFonts w:hint="eastAsia" w:ascii="宋体" w:hAnsi="宋体" w:cs="宋体"/>
          <w:sz w:val="24"/>
          <w:szCs w:val="24"/>
        </w:rPr>
        <w:t>，f</w:t>
      </w:r>
      <w:r>
        <w:rPr>
          <w:rFonts w:hint="eastAsia" w:ascii="宋体" w:hAnsi="宋体" w:cs="宋体"/>
          <w:sz w:val="24"/>
          <w:szCs w:val="24"/>
          <w:vertAlign w:val="subscript"/>
        </w:rPr>
        <w:t>c</w:t>
      </w:r>
      <w:r>
        <w:rPr>
          <w:rFonts w:hint="eastAsia" w:hAnsi="Cambria Math" w:cs="Arial"/>
          <w:sz w:val="24"/>
          <w:szCs w:val="24"/>
          <w:vertAlign w:val="subscript"/>
        </w:rPr>
        <w:t xml:space="preserve">   </w:t>
      </w:r>
      <w:r>
        <w:rPr>
          <w:rFonts w:hint="eastAsia" w:ascii="Arial" w:hAnsi="Arial" w:cs="Arial"/>
          <w:sz w:val="24"/>
          <w:szCs w:val="24"/>
        </w:rPr>
        <w:t>——钢管内的核心混凝土横截面面积、抗压强度设计值；</w:t>
      </w:r>
    </w:p>
    <w:p>
      <w:pPr>
        <w:ind w:left="420" w:leftChars="200"/>
        <w:jc w:val="left"/>
        <w:rPr>
          <w:rFonts w:ascii="Arial" w:hAnsi="Arial" w:cs="Arial"/>
          <w:sz w:val="24"/>
          <w:szCs w:val="24"/>
        </w:rPr>
      </w:pPr>
      <w:r>
        <w:rPr>
          <w:rFonts w:hint="eastAsia" w:ascii="Arial" w:hAnsi="Arial" w:cs="Arial"/>
          <w:sz w:val="24"/>
          <w:szCs w:val="24"/>
        </w:rPr>
        <w:t xml:space="preserve">      </w:t>
      </w:r>
      <w:r>
        <w:rPr>
          <w:rFonts w:hint="eastAsia" w:ascii="宋体" w:hAnsi="宋体" w:cs="宋体"/>
          <w:sz w:val="24"/>
          <w:szCs w:val="24"/>
        </w:rPr>
        <w:t>A</w:t>
      </w:r>
      <w:r>
        <w:rPr>
          <w:rFonts w:hint="eastAsia" w:ascii="宋体" w:hAnsi="宋体" w:cs="宋体"/>
          <w:sz w:val="24"/>
          <w:szCs w:val="24"/>
          <w:vertAlign w:val="subscript"/>
        </w:rPr>
        <w:t>a</w:t>
      </w:r>
      <w:r>
        <w:rPr>
          <w:rFonts w:hint="eastAsia" w:ascii="宋体" w:hAnsi="宋体" w:cs="宋体"/>
          <w:sz w:val="24"/>
          <w:szCs w:val="24"/>
        </w:rPr>
        <w:t>，f</w:t>
      </w:r>
      <w:r>
        <w:rPr>
          <w:rFonts w:hint="eastAsia" w:ascii="宋体" w:hAnsi="宋体" w:cs="宋体"/>
          <w:sz w:val="24"/>
          <w:szCs w:val="24"/>
          <w:vertAlign w:val="subscript"/>
        </w:rPr>
        <w:t>a</w:t>
      </w:r>
      <w:r>
        <w:rPr>
          <w:rFonts w:hint="eastAsia" w:hAnsi="Cambria Math" w:cs="Arial"/>
          <w:sz w:val="24"/>
          <w:szCs w:val="24"/>
          <w:vertAlign w:val="subscript"/>
        </w:rPr>
        <w:t xml:space="preserve">   </w:t>
      </w:r>
      <w:r>
        <w:rPr>
          <w:rFonts w:hint="eastAsia" w:ascii="Arial" w:hAnsi="Arial" w:cs="Arial"/>
          <w:sz w:val="24"/>
          <w:szCs w:val="24"/>
        </w:rPr>
        <w:t>——钢管的横截面面积、抗拉和抗压强度设计值。</w:t>
      </w:r>
    </w:p>
    <w:p>
      <w:pPr>
        <w:spacing w:line="360" w:lineRule="auto"/>
        <w:rPr>
          <w:rFonts w:ascii="Arial" w:hAnsi="Arial" w:cs="Arial"/>
          <w:sz w:val="24"/>
          <w:szCs w:val="24"/>
        </w:rPr>
      </w:pPr>
      <w:r>
        <w:rPr>
          <w:rFonts w:hint="eastAsia" w:ascii="Arial" w:hAnsi="Arial" w:cs="Arial"/>
          <w:sz w:val="24"/>
          <w:szCs w:val="24"/>
        </w:rPr>
        <w:t>7.3.5 圆形钢管混凝土柱的等效计算长度与钢管外直径之比L</w:t>
      </w:r>
      <w:r>
        <w:rPr>
          <w:rFonts w:hint="eastAsia" w:ascii="Arial" w:hAnsi="Arial" w:cs="Arial"/>
          <w:sz w:val="24"/>
          <w:szCs w:val="24"/>
          <w:vertAlign w:val="subscript"/>
        </w:rPr>
        <w:t>e</w:t>
      </w:r>
      <w:r>
        <w:rPr>
          <w:rFonts w:hint="eastAsia" w:ascii="Arial" w:hAnsi="Arial" w:cs="Arial"/>
          <w:sz w:val="24"/>
          <w:szCs w:val="24"/>
        </w:rPr>
        <w:t>/D不宜大于20。</w:t>
      </w:r>
    </w:p>
    <w:p>
      <w:pPr>
        <w:spacing w:line="360" w:lineRule="auto"/>
        <w:rPr>
          <w:rFonts w:ascii="Arial" w:hAnsi="Arial" w:cs="Arial"/>
          <w:sz w:val="24"/>
          <w:szCs w:val="24"/>
        </w:rPr>
      </w:pPr>
      <w:r>
        <w:rPr>
          <w:rFonts w:hint="eastAsia" w:ascii="Arial" w:hAnsi="Arial" w:cs="Arial"/>
          <w:sz w:val="24"/>
          <w:szCs w:val="24"/>
        </w:rPr>
        <w:t>7.3.7圆形钢管混凝土柱与钢梁宜采用刚性连接，亦可采用铰接连接。对于刚性连接，柱内或柱外应设置与梁上、下翼缘位置对应的水平加劲肋。设置在柱内的水平加劲肋应留有混凝土浇筑孔；设置在柱外的水平加劲肋应形成加劲环肋。加劲肋的厚度与钢梁翼缘等厚，且不宜小于12mm。</w:t>
      </w:r>
    </w:p>
    <w:p>
      <w:pPr>
        <w:spacing w:line="360" w:lineRule="auto"/>
        <w:rPr>
          <w:rFonts w:ascii="Arial" w:hAnsi="Arial" w:cs="Arial"/>
          <w:sz w:val="24"/>
          <w:szCs w:val="24"/>
        </w:rPr>
      </w:pPr>
      <w:r>
        <w:rPr>
          <w:rFonts w:hint="eastAsia" w:ascii="Arial" w:hAnsi="Arial" w:cs="Arial"/>
          <w:sz w:val="24"/>
          <w:szCs w:val="24"/>
        </w:rPr>
        <w:t>7.3.8 圆形钢管混凝土柱的直径大于或等于2000mm时，宜采取在钢管内设置纵向钢筋和构造箍筋形成芯柱等有效构造措施，减少钢管内混凝土收缩对其受力性能的影响。</w:t>
      </w:r>
    </w:p>
    <w:p>
      <w:pPr>
        <w:spacing w:line="360" w:lineRule="auto"/>
        <w:rPr>
          <w:rFonts w:ascii="Arial" w:hAnsi="Arial" w:cs="Arial"/>
          <w:sz w:val="24"/>
          <w:szCs w:val="24"/>
        </w:rPr>
      </w:pPr>
      <w:r>
        <w:rPr>
          <w:rFonts w:hint="eastAsia" w:ascii="Arial" w:hAnsi="Arial" w:cs="Arial"/>
          <w:sz w:val="24"/>
          <w:szCs w:val="24"/>
        </w:rPr>
        <w:t>7.3.11 矩形钢管混凝土柱的管壁宽厚比b/t和h/t应符合下列公式的规定：</w:t>
      </w:r>
    </w:p>
    <w:p>
      <w:pPr>
        <w:spacing w:line="360" w:lineRule="auto"/>
        <w:ind w:right="420" w:rightChars="200" w:firstLine="2160" w:firstLineChars="900"/>
        <w:jc w:val="left"/>
        <w:rPr>
          <w:rFonts w:hAnsi="Cambria Math" w:cs="Arial"/>
          <w:sz w:val="24"/>
          <w:szCs w:val="24"/>
        </w:rPr>
      </w:pPr>
      <w:r>
        <w:rPr>
          <w:rFonts w:hint="eastAsia" w:ascii="Arial" w:hAnsi="Arial" w:cs="Arial"/>
          <w:sz w:val="24"/>
          <w:szCs w:val="24"/>
        </w:rPr>
        <w:t>b/t≤60</w:t>
      </w:r>
      <m:oMath>
        <m:rad>
          <m:radPr>
            <m:degHide m:val="true"/>
            <m:ctrlPr>
              <w:rPr>
                <w:rFonts w:ascii="Cambria Math" w:hAnsi="Cambria Math" w:cs="Arial"/>
                <w:i/>
                <w:sz w:val="24"/>
                <w:szCs w:val="24"/>
              </w:rPr>
            </m:ctrlPr>
          </m:radPr>
          <m:deg>
            <m:ctrlPr>
              <w:rPr>
                <w:rFonts w:ascii="Cambria Math" w:hAnsi="Cambria Math" w:cs="Arial"/>
                <w:i/>
                <w:sz w:val="24"/>
                <w:szCs w:val="24"/>
              </w:rPr>
            </m:ctrlPr>
          </m:deg>
          <m:e>
            <m:r>
              <m:rPr/>
              <w:rPr>
                <w:rFonts w:hint="eastAsia" w:ascii="Cambria Math" w:hAnsi="Cambria Math" w:cs="Arial"/>
                <w:sz w:val="24"/>
                <w:szCs w:val="24"/>
              </w:rPr>
              <m:t>235/</m:t>
            </m:r>
            <m:sSub>
              <m:sSubPr>
                <m:ctrlPr>
                  <w:rPr>
                    <w:rFonts w:hint="eastAsia" w:ascii="Cambria Math" w:hAnsi="Cambria Math" w:cs="Arial"/>
                    <w:i/>
                    <w:sz w:val="24"/>
                    <w:szCs w:val="24"/>
                  </w:rPr>
                </m:ctrlPr>
              </m:sSubPr>
              <m:e>
                <m:r>
                  <m:rPr/>
                  <w:rPr>
                    <w:rFonts w:ascii="Cambria Math" w:hAnsi="Cambria Math" w:cs="Arial"/>
                    <w:sz w:val="24"/>
                    <w:szCs w:val="24"/>
                  </w:rPr>
                  <m:t>f</m:t>
                </m:r>
                <m:ctrlPr>
                  <w:rPr>
                    <w:rFonts w:hint="eastAsia" w:ascii="Cambria Math" w:hAnsi="Cambria Math" w:cs="Arial"/>
                    <w:i/>
                    <w:sz w:val="24"/>
                    <w:szCs w:val="24"/>
                  </w:rPr>
                </m:ctrlPr>
              </m:e>
              <m:sub>
                <m:r>
                  <m:rPr/>
                  <w:rPr>
                    <w:rFonts w:ascii="Cambria Math" w:hAnsi="Cambria Math" w:cs="Arial"/>
                    <w:sz w:val="24"/>
                    <w:szCs w:val="24"/>
                  </w:rPr>
                  <m:t>ak</m:t>
                </m:r>
                <m:ctrlPr>
                  <w:rPr>
                    <w:rFonts w:hint="eastAsia" w:ascii="Cambria Math" w:hAnsi="Cambria Math" w:cs="Arial"/>
                    <w:i/>
                    <w:sz w:val="24"/>
                    <w:szCs w:val="24"/>
                  </w:rPr>
                </m:ctrlPr>
              </m:sub>
            </m:sSub>
            <m:ctrlPr>
              <w:rPr>
                <w:rFonts w:ascii="Cambria Math" w:hAnsi="Cambria Math" w:cs="Arial"/>
                <w:i/>
                <w:sz w:val="24"/>
                <w:szCs w:val="24"/>
              </w:rPr>
            </m:ctrlPr>
          </m:e>
        </m:rad>
      </m:oMath>
      <w:r>
        <w:rPr>
          <w:rFonts w:hint="eastAsia" w:hAnsi="Cambria Math" w:cs="Arial"/>
          <w:sz w:val="24"/>
          <w:szCs w:val="24"/>
        </w:rPr>
        <w:t xml:space="preserve">             （7.3.11-1）</w:t>
      </w:r>
    </w:p>
    <w:p>
      <w:pPr>
        <w:spacing w:line="360" w:lineRule="auto"/>
        <w:ind w:right="420" w:rightChars="200" w:firstLine="2160" w:firstLineChars="900"/>
        <w:jc w:val="left"/>
        <w:rPr>
          <w:rFonts w:hAnsi="Cambria Math" w:cs="Arial"/>
          <w:sz w:val="24"/>
          <w:szCs w:val="24"/>
        </w:rPr>
      </w:pPr>
      <w:r>
        <w:rPr>
          <w:rFonts w:hint="eastAsia" w:hAnsi="Cambria Math" w:cs="Arial"/>
          <w:sz w:val="24"/>
          <w:szCs w:val="24"/>
        </w:rPr>
        <w:t>h/t</w:t>
      </w:r>
      <w:r>
        <w:rPr>
          <w:rFonts w:hint="eastAsia" w:ascii="Arial" w:hAnsi="Arial" w:cs="Arial"/>
          <w:sz w:val="24"/>
          <w:szCs w:val="24"/>
        </w:rPr>
        <w:t>≤60</w:t>
      </w:r>
      <m:oMath>
        <m:rad>
          <m:radPr>
            <m:degHide m:val="true"/>
            <m:ctrlPr>
              <w:rPr>
                <w:rFonts w:ascii="Cambria Math" w:hAnsi="Cambria Math" w:cs="Arial"/>
                <w:i/>
                <w:sz w:val="24"/>
                <w:szCs w:val="24"/>
              </w:rPr>
            </m:ctrlPr>
          </m:radPr>
          <m:deg>
            <m:ctrlPr>
              <w:rPr>
                <w:rFonts w:ascii="Cambria Math" w:hAnsi="Cambria Math" w:cs="Arial"/>
                <w:i/>
                <w:sz w:val="24"/>
                <w:szCs w:val="24"/>
              </w:rPr>
            </m:ctrlPr>
          </m:deg>
          <m:e>
            <m:r>
              <m:rPr/>
              <w:rPr>
                <w:rFonts w:hint="eastAsia" w:ascii="Cambria Math" w:hAnsi="Cambria Math" w:cs="Arial"/>
                <w:sz w:val="24"/>
                <w:szCs w:val="24"/>
              </w:rPr>
              <m:t>235/</m:t>
            </m:r>
            <m:sSub>
              <m:sSubPr>
                <m:ctrlPr>
                  <w:rPr>
                    <w:rFonts w:hint="eastAsia" w:ascii="Cambria Math" w:hAnsi="Cambria Math" w:cs="Arial"/>
                    <w:i/>
                    <w:sz w:val="24"/>
                    <w:szCs w:val="24"/>
                  </w:rPr>
                </m:ctrlPr>
              </m:sSubPr>
              <m:e>
                <m:r>
                  <m:rPr/>
                  <w:rPr>
                    <w:rFonts w:ascii="Cambria Math" w:hAnsi="Cambria Math" w:cs="Arial"/>
                    <w:sz w:val="24"/>
                    <w:szCs w:val="24"/>
                  </w:rPr>
                  <m:t>f</m:t>
                </m:r>
                <m:ctrlPr>
                  <w:rPr>
                    <w:rFonts w:hint="eastAsia" w:ascii="Cambria Math" w:hAnsi="Cambria Math" w:cs="Arial"/>
                    <w:i/>
                    <w:sz w:val="24"/>
                    <w:szCs w:val="24"/>
                  </w:rPr>
                </m:ctrlPr>
              </m:e>
              <m:sub>
                <m:r>
                  <m:rPr/>
                  <w:rPr>
                    <w:rFonts w:ascii="Cambria Math" w:hAnsi="Cambria Math" w:cs="Arial"/>
                    <w:sz w:val="24"/>
                    <w:szCs w:val="24"/>
                  </w:rPr>
                  <m:t>ak</m:t>
                </m:r>
                <m:ctrlPr>
                  <w:rPr>
                    <w:rFonts w:hint="eastAsia" w:ascii="Cambria Math" w:hAnsi="Cambria Math" w:cs="Arial"/>
                    <w:i/>
                    <w:sz w:val="24"/>
                    <w:szCs w:val="24"/>
                  </w:rPr>
                </m:ctrlPr>
              </m:sub>
            </m:sSub>
            <m:ctrlPr>
              <w:rPr>
                <w:rFonts w:ascii="Cambria Math" w:hAnsi="Cambria Math" w:cs="Arial"/>
                <w:i/>
                <w:sz w:val="24"/>
                <w:szCs w:val="24"/>
              </w:rPr>
            </m:ctrlPr>
          </m:e>
        </m:rad>
      </m:oMath>
      <w:r>
        <w:rPr>
          <w:rFonts w:hint="eastAsia" w:hAnsi="Cambria Math" w:cs="Arial"/>
          <w:sz w:val="24"/>
          <w:szCs w:val="24"/>
        </w:rPr>
        <w:t xml:space="preserve">             （7.3.11-2）</w:t>
      </w:r>
    </w:p>
    <w:p>
      <w:pPr>
        <w:spacing w:line="360" w:lineRule="auto"/>
        <w:ind w:left="420" w:leftChars="200"/>
        <w:jc w:val="left"/>
        <w:rPr>
          <w:rFonts w:ascii="Arial" w:hAnsi="Arial" w:cs="Arial"/>
          <w:sz w:val="24"/>
          <w:szCs w:val="24"/>
        </w:rPr>
      </w:pPr>
      <w:r>
        <w:rPr>
          <w:rFonts w:hint="eastAsia" w:hAnsi="Cambria Math" w:cs="Arial"/>
          <w:sz w:val="24"/>
          <w:szCs w:val="24"/>
        </w:rPr>
        <w:t>式中：b，h</w:t>
      </w:r>
      <w:r>
        <w:rPr>
          <w:rFonts w:hAnsi="Cambria Math" w:cs="Arial"/>
          <w:sz w:val="24"/>
          <w:szCs w:val="24"/>
        </w:rPr>
        <w:t xml:space="preserve"> </w:t>
      </w:r>
      <w:r>
        <w:rPr>
          <w:rFonts w:hint="eastAsia" w:ascii="Arial" w:hAnsi="Arial" w:cs="Arial"/>
          <w:sz w:val="24"/>
          <w:szCs w:val="24"/>
        </w:rPr>
        <w:t>——矩形钢管管壁宽度、高度；</w:t>
      </w:r>
    </w:p>
    <w:p>
      <w:pPr>
        <w:spacing w:line="360" w:lineRule="auto"/>
        <w:ind w:left="1155" w:leftChars="550"/>
        <w:jc w:val="left"/>
        <w:rPr>
          <w:rFonts w:ascii="Arial" w:hAnsi="Arial" w:cs="Arial"/>
          <w:sz w:val="24"/>
          <w:szCs w:val="24"/>
        </w:rPr>
      </w:pPr>
      <w:r>
        <w:rPr>
          <w:rFonts w:hint="eastAsia" w:hAnsi="Cambria Math" w:cs="Arial"/>
          <w:sz w:val="24"/>
          <w:szCs w:val="24"/>
        </w:rPr>
        <w:t>t</w:t>
      </w:r>
      <w:r>
        <w:rPr>
          <w:rFonts w:hAnsi="Cambria Math" w:cs="Arial"/>
          <w:sz w:val="24"/>
          <w:szCs w:val="24"/>
        </w:rPr>
        <w:t xml:space="preserve"> </w:t>
      </w:r>
      <w:r>
        <w:rPr>
          <w:rFonts w:hint="eastAsia" w:ascii="Arial" w:hAnsi="Arial" w:cs="Arial"/>
          <w:sz w:val="24"/>
          <w:szCs w:val="24"/>
        </w:rPr>
        <w:t>——矩形钢管管壁厚度；</w:t>
      </w:r>
    </w:p>
    <w:p>
      <w:pPr>
        <w:spacing w:line="360" w:lineRule="auto"/>
        <w:ind w:left="1155" w:leftChars="550"/>
        <w:jc w:val="left"/>
        <w:rPr>
          <w:rFonts w:ascii="Arial" w:hAnsi="Arial" w:cs="Arial"/>
          <w:sz w:val="24"/>
          <w:szCs w:val="24"/>
        </w:rPr>
      </w:pPr>
      <w:r>
        <w:rPr>
          <w:rFonts w:hint="eastAsia" w:hAnsi="Cambria Math" w:cs="Arial"/>
          <w:sz w:val="24"/>
          <w:szCs w:val="24"/>
        </w:rPr>
        <w:t>fak</w:t>
      </w:r>
      <w:r>
        <w:rPr>
          <w:rFonts w:hAnsi="Cambria Math" w:cs="Arial"/>
          <w:sz w:val="24"/>
          <w:szCs w:val="24"/>
        </w:rPr>
        <w:t xml:space="preserve"> </w:t>
      </w:r>
      <w:r>
        <w:rPr>
          <w:rFonts w:hint="eastAsia" w:ascii="Arial" w:hAnsi="Arial" w:cs="Arial"/>
          <w:sz w:val="24"/>
          <w:szCs w:val="24"/>
        </w:rPr>
        <w:t>——矩形钢管的抗拉强度标准值；</w:t>
      </w:r>
    </w:p>
    <w:p>
      <w:pPr>
        <w:spacing w:line="360" w:lineRule="auto"/>
        <w:rPr>
          <w:rFonts w:ascii="Arial" w:hAnsi="Arial" w:cs="Arial"/>
          <w:sz w:val="24"/>
          <w:szCs w:val="24"/>
        </w:rPr>
      </w:pPr>
      <w:r>
        <w:rPr>
          <w:rFonts w:hint="eastAsia" w:ascii="Arial" w:hAnsi="Arial" w:cs="Arial"/>
          <w:sz w:val="24"/>
          <w:szCs w:val="24"/>
        </w:rPr>
        <w:t>7.4.6</w:t>
      </w:r>
      <w:r>
        <w:rPr>
          <w:rFonts w:ascii="Arial" w:hAnsi="Arial" w:cs="Arial"/>
          <w:sz w:val="24"/>
          <w:szCs w:val="24"/>
        </w:rPr>
        <w:t xml:space="preserve"> </w:t>
      </w:r>
      <w:r>
        <w:rPr>
          <w:rFonts w:hint="eastAsia" w:ascii="Arial" w:hAnsi="Arial" w:cs="Arial"/>
          <w:sz w:val="24"/>
          <w:szCs w:val="24"/>
        </w:rPr>
        <w:t>考虑地震作用组合的型钢混凝土柱应设置箍筋加密区。加密区的箍筋最大间距和箍筋最小直径应符合表7.4.6的规定。</w:t>
      </w:r>
    </w:p>
    <w:p>
      <w:pPr>
        <w:spacing w:before="156" w:beforeLines="50" w:after="156" w:afterLines="50" w:line="360" w:lineRule="auto"/>
        <w:ind w:right="420" w:rightChars="200"/>
        <w:jc w:val="center"/>
        <w:rPr>
          <w:rFonts w:ascii="Arial" w:hAnsi="Arial" w:cs="Arial"/>
          <w:b/>
          <w:bCs/>
          <w:sz w:val="24"/>
          <w:szCs w:val="24"/>
        </w:rPr>
      </w:pPr>
      <w:r>
        <w:drawing>
          <wp:inline distT="0" distB="0" distL="114300" distR="114300">
            <wp:extent cx="4690110" cy="1951990"/>
            <wp:effectExtent l="0" t="0" r="8890" b="3810"/>
            <wp:docPr id="71"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1" name="图片 7"/>
                    <pic:cNvPicPr>
                      <a:picLocks noChangeAspect="true"/>
                    </pic:cNvPicPr>
                  </pic:nvPicPr>
                  <pic:blipFill>
                    <a:blip r:embed="rId34"/>
                    <a:stretch>
                      <a:fillRect/>
                    </a:stretch>
                  </pic:blipFill>
                  <pic:spPr>
                    <a:xfrm>
                      <a:off x="0" y="0"/>
                      <a:ext cx="4690110" cy="1951990"/>
                    </a:xfrm>
                    <a:prstGeom prst="rect">
                      <a:avLst/>
                    </a:prstGeom>
                    <a:noFill/>
                    <a:ln>
                      <a:noFill/>
                    </a:ln>
                  </pic:spPr>
                </pic:pic>
              </a:graphicData>
            </a:graphic>
          </wp:inline>
        </w:drawing>
      </w:r>
    </w:p>
    <w:p>
      <w:pPr>
        <w:spacing w:line="360" w:lineRule="auto"/>
        <w:rPr>
          <w:rFonts w:ascii="Arial" w:hAnsi="Arial" w:cs="Arial"/>
          <w:sz w:val="24"/>
          <w:szCs w:val="24"/>
        </w:rPr>
      </w:pPr>
      <w:r>
        <w:rPr>
          <w:rFonts w:hint="eastAsia" w:ascii="Arial" w:hAnsi="Arial" w:cs="Arial"/>
          <w:sz w:val="24"/>
          <w:szCs w:val="24"/>
        </w:rPr>
        <w:t>7.4.7 考虑地震作用组合的型钢混凝土框架柱，其箍筋加密区应为下列范围：</w:t>
      </w:r>
    </w:p>
    <w:p>
      <w:pPr>
        <w:spacing w:line="360" w:lineRule="auto"/>
        <w:ind w:firstLine="480" w:firstLineChars="200"/>
        <w:rPr>
          <w:rFonts w:ascii="Arial" w:hAnsi="Arial" w:cs="Arial"/>
          <w:sz w:val="24"/>
          <w:szCs w:val="24"/>
        </w:rPr>
      </w:pPr>
      <w:r>
        <w:rPr>
          <w:rFonts w:hint="eastAsia" w:ascii="Arial" w:hAnsi="Arial" w:cs="Arial"/>
          <w:sz w:val="24"/>
          <w:szCs w:val="24"/>
        </w:rPr>
        <w:t>1  柱上、下两端，取截面长边尺寸、柱净高的1/6和500mm中的最大值。</w:t>
      </w:r>
    </w:p>
    <w:p>
      <w:pPr>
        <w:spacing w:line="360" w:lineRule="auto"/>
        <w:ind w:firstLine="480" w:firstLineChars="200"/>
        <w:rPr>
          <w:rFonts w:ascii="Arial" w:hAnsi="Arial" w:cs="Arial"/>
          <w:sz w:val="24"/>
          <w:szCs w:val="24"/>
        </w:rPr>
      </w:pPr>
      <w:r>
        <w:rPr>
          <w:rFonts w:hint="eastAsia" w:ascii="Arial" w:hAnsi="Arial" w:cs="Arial"/>
          <w:sz w:val="24"/>
          <w:szCs w:val="24"/>
        </w:rPr>
        <w:t>2  底层柱下端不小于1/3柱净高的范围。</w:t>
      </w:r>
    </w:p>
    <w:p>
      <w:pPr>
        <w:spacing w:line="360" w:lineRule="auto"/>
        <w:ind w:firstLine="480" w:firstLineChars="200"/>
        <w:rPr>
          <w:rFonts w:ascii="Arial" w:hAnsi="Arial" w:cs="Arial"/>
          <w:sz w:val="24"/>
          <w:szCs w:val="24"/>
        </w:rPr>
      </w:pPr>
      <w:r>
        <w:rPr>
          <w:rFonts w:hint="eastAsia" w:ascii="Arial" w:hAnsi="Arial" w:cs="Arial"/>
          <w:sz w:val="24"/>
          <w:szCs w:val="24"/>
        </w:rPr>
        <w:t>3  刚性地面上、下各500mm的范围。</w:t>
      </w:r>
    </w:p>
    <w:p>
      <w:pPr>
        <w:spacing w:line="360" w:lineRule="auto"/>
        <w:ind w:firstLine="480" w:firstLineChars="200"/>
        <w:rPr>
          <w:rFonts w:ascii="Arial" w:hAnsi="Arial" w:cs="Arial"/>
          <w:sz w:val="24"/>
          <w:szCs w:val="24"/>
        </w:rPr>
      </w:pPr>
      <w:r>
        <w:rPr>
          <w:rFonts w:hint="eastAsia" w:ascii="Arial" w:hAnsi="Arial" w:cs="Arial"/>
          <w:sz w:val="24"/>
          <w:szCs w:val="24"/>
        </w:rPr>
        <w:t>4  一、二级框架角柱的全高范围。</w:t>
      </w:r>
    </w:p>
    <w:p>
      <w:pPr>
        <w:spacing w:line="360" w:lineRule="auto"/>
        <w:rPr>
          <w:rFonts w:ascii="Arial" w:hAnsi="Arial" w:cs="Arial"/>
          <w:sz w:val="24"/>
          <w:szCs w:val="24"/>
        </w:rPr>
      </w:pPr>
      <w:r>
        <w:rPr>
          <w:rFonts w:hint="eastAsia" w:ascii="Arial" w:hAnsi="Arial" w:cs="Arial"/>
          <w:sz w:val="24"/>
          <w:szCs w:val="24"/>
        </w:rPr>
        <w:t>7.4.8 考虑地震作用组合的型钢混凝土框架柱箍筋加密区箍筋的体积配筋率应符合下式规定：</w:t>
      </w:r>
    </w:p>
    <w:p>
      <w:pPr>
        <w:spacing w:line="360" w:lineRule="auto"/>
        <w:ind w:right="420" w:rightChars="200" w:firstLine="2880" w:firstLineChars="1200"/>
        <w:jc w:val="left"/>
        <w:rPr>
          <w:rFonts w:hAnsi="Cambria Math" w:cs="Arial"/>
          <w:sz w:val="24"/>
          <w:szCs w:val="24"/>
        </w:rPr>
      </w:pPr>
      <w:r>
        <w:rPr>
          <w:rFonts w:hint="eastAsia" w:ascii="Arial" w:hAnsi="Arial" w:cs="Arial"/>
          <w:sz w:val="24"/>
          <w:szCs w:val="24"/>
        </w:rPr>
        <w:t xml:space="preserve"> </w:t>
      </w:r>
      <m:oMath>
        <m:sSub>
          <m:sSubPr>
            <m:ctrlPr>
              <w:rPr>
                <w:rFonts w:ascii="Cambria Math" w:hAnsi="Cambria Math" w:cs="Arial"/>
                <w:i/>
                <w:sz w:val="24"/>
                <w:szCs w:val="24"/>
              </w:rPr>
            </m:ctrlPr>
          </m:sSubPr>
          <m:e>
            <m:r>
              <m:rPr/>
              <w:rPr>
                <w:rFonts w:ascii="Cambria Math" w:hAnsi="Cambria Math" w:cs="Arial"/>
                <w:sz w:val="24"/>
                <w:szCs w:val="24"/>
              </w:rPr>
              <m:t>λ</m:t>
            </m:r>
            <m:ctrlPr>
              <w:rPr>
                <w:rFonts w:ascii="Cambria Math" w:hAnsi="Cambria Math" w:cs="Arial"/>
                <w:i/>
                <w:sz w:val="24"/>
                <w:szCs w:val="24"/>
              </w:rPr>
            </m:ctrlPr>
          </m:e>
          <m:sub>
            <m:r>
              <m:rPr/>
              <w:rPr>
                <w:rFonts w:ascii="Cambria Math" w:hAnsi="Cambria Math" w:cs="Arial"/>
                <w:sz w:val="24"/>
                <w:szCs w:val="24"/>
              </w:rPr>
              <m:t>v</m:t>
            </m:r>
            <m:ctrlPr>
              <w:rPr>
                <w:rFonts w:ascii="Cambria Math" w:hAnsi="Cambria Math" w:cs="Arial"/>
                <w:i/>
                <w:sz w:val="24"/>
                <w:szCs w:val="24"/>
              </w:rPr>
            </m:ctrlPr>
          </m:sub>
        </m:sSub>
        <m:r>
          <m:rPr/>
          <w:rPr>
            <w:rFonts w:hint="eastAsia" w:ascii="Cambria Math" w:hAnsi="Cambria Math" w:cs="Arial"/>
            <w:sz w:val="24"/>
            <w:szCs w:val="24"/>
          </w:rPr>
          <m:t>=0.85</m:t>
        </m:r>
        <m:sSub>
          <m:sSubPr>
            <m:ctrlPr>
              <w:rPr>
                <w:rFonts w:hint="eastAsia" w:ascii="Cambria Math" w:hAnsi="Cambria Math" w:cs="Arial"/>
                <w:i/>
                <w:sz w:val="24"/>
                <w:szCs w:val="24"/>
              </w:rPr>
            </m:ctrlPr>
          </m:sSubPr>
          <m:e>
            <m:r>
              <m:rPr/>
              <w:rPr>
                <w:rFonts w:ascii="Cambria Math" w:hAnsi="Cambria Math" w:cs="Arial"/>
                <w:sz w:val="24"/>
                <w:szCs w:val="24"/>
              </w:rPr>
              <m:t>ρ</m:t>
            </m:r>
            <m:ctrlPr>
              <w:rPr>
                <w:rFonts w:hint="eastAsia" w:ascii="Cambria Math" w:hAnsi="Cambria Math" w:cs="Arial"/>
                <w:i/>
                <w:sz w:val="24"/>
                <w:szCs w:val="24"/>
              </w:rPr>
            </m:ctrlPr>
          </m:e>
          <m:sub>
            <m:r>
              <m:rPr/>
              <w:rPr>
                <w:rFonts w:ascii="Cambria Math" w:hAnsi="Cambria Math" w:cs="Arial"/>
                <w:sz w:val="24"/>
                <w:szCs w:val="24"/>
              </w:rPr>
              <m:t>v</m:t>
            </m:r>
            <m:ctrlPr>
              <w:rPr>
                <w:rFonts w:hint="eastAsia" w:ascii="Cambria Math" w:hAnsi="Cambria Math" w:cs="Arial"/>
                <w:i/>
                <w:sz w:val="24"/>
                <w:szCs w:val="24"/>
              </w:rPr>
            </m:ctrlPr>
          </m:sub>
        </m:sSub>
        <m:f>
          <m:fPr>
            <m:ctrlPr>
              <w:rPr>
                <w:rFonts w:hint="eastAsia" w:ascii="Cambria Math" w:hAnsi="Cambria Math" w:cs="Arial"/>
                <w:i/>
                <w:sz w:val="24"/>
                <w:szCs w:val="24"/>
              </w:rPr>
            </m:ctrlPr>
          </m:fPr>
          <m:num>
            <m:sSub>
              <m:sSubPr>
                <m:ctrlPr>
                  <w:rPr>
                    <w:rFonts w:hint="eastAsia" w:ascii="Cambria Math" w:hAnsi="Cambria Math" w:cs="Arial"/>
                    <w:i/>
                    <w:sz w:val="24"/>
                    <w:szCs w:val="24"/>
                  </w:rPr>
                </m:ctrlPr>
              </m:sSubPr>
              <m:e>
                <m:r>
                  <m:rPr/>
                  <w:rPr>
                    <w:rFonts w:ascii="Cambria Math" w:hAnsi="Cambria Math" w:cs="Arial"/>
                    <w:sz w:val="24"/>
                    <w:szCs w:val="24"/>
                  </w:rPr>
                  <m:t>f</m:t>
                </m:r>
                <m:ctrlPr>
                  <w:rPr>
                    <w:rFonts w:hint="eastAsia" w:ascii="Cambria Math" w:hAnsi="Cambria Math" w:cs="Arial"/>
                    <w:i/>
                    <w:sz w:val="24"/>
                    <w:szCs w:val="24"/>
                  </w:rPr>
                </m:ctrlPr>
              </m:e>
              <m:sub>
                <m:r>
                  <m:rPr/>
                  <w:rPr>
                    <w:rFonts w:ascii="Cambria Math" w:hAnsi="Cambria Math" w:cs="Arial"/>
                    <w:sz w:val="24"/>
                    <w:szCs w:val="24"/>
                  </w:rPr>
                  <m:t>c</m:t>
                </m:r>
                <m:ctrlPr>
                  <w:rPr>
                    <w:rFonts w:hint="eastAsia" w:ascii="Cambria Math" w:hAnsi="Cambria Math" w:cs="Arial"/>
                    <w:i/>
                    <w:sz w:val="24"/>
                    <w:szCs w:val="24"/>
                  </w:rPr>
                </m:ctrlPr>
              </m:sub>
            </m:sSub>
            <m:ctrlPr>
              <w:rPr>
                <w:rFonts w:hint="eastAsia" w:ascii="Cambria Math" w:hAnsi="Cambria Math" w:cs="Arial"/>
                <w:i/>
                <w:sz w:val="24"/>
                <w:szCs w:val="24"/>
              </w:rPr>
            </m:ctrlPr>
          </m:num>
          <m:den>
            <m:sSub>
              <m:sSubPr>
                <m:ctrlPr>
                  <w:rPr>
                    <w:rFonts w:hint="eastAsia" w:ascii="Cambria Math" w:hAnsi="Cambria Math" w:cs="Arial"/>
                    <w:i/>
                    <w:sz w:val="24"/>
                    <w:szCs w:val="24"/>
                  </w:rPr>
                </m:ctrlPr>
              </m:sSubPr>
              <m:e>
                <m:r>
                  <m:rPr/>
                  <w:rPr>
                    <w:rFonts w:ascii="Cambria Math" w:hAnsi="Cambria Math" w:cs="Arial"/>
                    <w:sz w:val="24"/>
                    <w:szCs w:val="24"/>
                  </w:rPr>
                  <m:t>f</m:t>
                </m:r>
                <m:ctrlPr>
                  <w:rPr>
                    <w:rFonts w:hint="eastAsia" w:ascii="Cambria Math" w:hAnsi="Cambria Math" w:cs="Arial"/>
                    <w:i/>
                    <w:sz w:val="24"/>
                    <w:szCs w:val="24"/>
                  </w:rPr>
                </m:ctrlPr>
              </m:e>
              <m:sub>
                <m:r>
                  <m:rPr/>
                  <w:rPr>
                    <w:rFonts w:ascii="Cambria Math" w:hAnsi="Cambria Math" w:cs="Arial"/>
                    <w:sz w:val="24"/>
                    <w:szCs w:val="24"/>
                  </w:rPr>
                  <m:t>yv</m:t>
                </m:r>
                <m:ctrlPr>
                  <w:rPr>
                    <w:rFonts w:hint="eastAsia" w:ascii="Cambria Math" w:hAnsi="Cambria Math" w:cs="Arial"/>
                    <w:i/>
                    <w:sz w:val="24"/>
                    <w:szCs w:val="24"/>
                  </w:rPr>
                </m:ctrlPr>
              </m:sub>
            </m:sSub>
            <m:ctrlPr>
              <w:rPr>
                <w:rFonts w:hint="eastAsia" w:ascii="Cambria Math" w:hAnsi="Cambria Math" w:cs="Arial"/>
                <w:i/>
                <w:sz w:val="24"/>
                <w:szCs w:val="24"/>
              </w:rPr>
            </m:ctrlPr>
          </m:den>
        </m:f>
      </m:oMath>
      <w:r>
        <w:rPr>
          <w:rFonts w:hint="eastAsia" w:hAnsi="Cambria Math" w:cs="Arial"/>
          <w:sz w:val="24"/>
          <w:szCs w:val="24"/>
        </w:rPr>
        <w:t xml:space="preserve">             (7.4.8)</w:t>
      </w:r>
    </w:p>
    <w:p>
      <w:pPr>
        <w:spacing w:line="360" w:lineRule="auto"/>
        <w:ind w:firstLine="480" w:firstLineChars="200"/>
        <w:jc w:val="left"/>
        <w:rPr>
          <w:rFonts w:ascii="Arial" w:hAnsi="Arial" w:cs="Arial"/>
          <w:sz w:val="24"/>
          <w:szCs w:val="24"/>
        </w:rPr>
      </w:pPr>
      <w:r>
        <w:rPr>
          <w:rFonts w:hint="eastAsia" w:hAnsi="Cambria Math" w:cs="Arial"/>
          <w:sz w:val="24"/>
          <w:szCs w:val="24"/>
        </w:rPr>
        <w:t>式中：λ</w:t>
      </w:r>
      <w:r>
        <w:rPr>
          <w:rFonts w:hint="eastAsia" w:hAnsi="Cambria Math" w:cs="Arial"/>
          <w:sz w:val="24"/>
          <w:szCs w:val="24"/>
          <w:vertAlign w:val="subscript"/>
        </w:rPr>
        <w:t>v</w:t>
      </w:r>
      <w:r>
        <w:rPr>
          <w:rFonts w:hAnsi="Cambria Math" w:cs="Arial"/>
          <w:sz w:val="24"/>
          <w:szCs w:val="24"/>
        </w:rPr>
        <w:t xml:space="preserve"> </w:t>
      </w:r>
      <w:r>
        <w:rPr>
          <w:rFonts w:hint="eastAsia" w:ascii="Arial" w:hAnsi="Arial" w:cs="Arial"/>
          <w:sz w:val="24"/>
          <w:szCs w:val="24"/>
        </w:rPr>
        <w:t>——最小配箍特征值，按表7.4.8采用；</w:t>
      </w:r>
    </w:p>
    <w:p>
      <w:pPr>
        <w:spacing w:line="360" w:lineRule="auto"/>
        <w:ind w:left="1208" w:leftChars="575"/>
        <w:jc w:val="left"/>
        <w:rPr>
          <w:rFonts w:ascii="Arial" w:hAnsi="Arial" w:cs="Arial"/>
          <w:sz w:val="24"/>
          <w:szCs w:val="24"/>
        </w:rPr>
      </w:pPr>
      <w:r>
        <w:rPr>
          <w:rFonts w:hint="eastAsia" w:ascii="Arial" w:hAnsi="Arial" w:cs="Arial"/>
          <w:sz w:val="24"/>
          <w:szCs w:val="24"/>
        </w:rPr>
        <w:t>ρ</w:t>
      </w:r>
      <w:r>
        <w:rPr>
          <w:rFonts w:hint="eastAsia" w:ascii="Arial" w:hAnsi="Arial" w:cs="Arial"/>
          <w:sz w:val="24"/>
          <w:szCs w:val="24"/>
          <w:vertAlign w:val="subscript"/>
        </w:rPr>
        <w:t>v</w:t>
      </w:r>
      <w:r>
        <w:rPr>
          <w:rFonts w:ascii="Arial" w:hAnsi="Arial" w:cs="Arial"/>
          <w:sz w:val="24"/>
          <w:szCs w:val="24"/>
          <w:vertAlign w:val="subscript"/>
        </w:rPr>
        <w:t xml:space="preserve"> </w:t>
      </w:r>
      <w:r>
        <w:rPr>
          <w:rFonts w:hint="eastAsia" w:ascii="Arial" w:hAnsi="Arial" w:cs="Arial"/>
          <w:sz w:val="24"/>
          <w:szCs w:val="24"/>
        </w:rPr>
        <w:t>——柱箍筋加密区箍筋的体积配箍率；</w:t>
      </w:r>
    </w:p>
    <w:p>
      <w:pPr>
        <w:spacing w:line="360" w:lineRule="auto"/>
        <w:ind w:left="1260" w:leftChars="600"/>
        <w:jc w:val="left"/>
        <w:rPr>
          <w:rFonts w:ascii="Arial" w:hAnsi="Arial" w:cs="Arial"/>
          <w:sz w:val="24"/>
          <w:szCs w:val="24"/>
        </w:rPr>
      </w:pPr>
      <w:r>
        <w:rPr>
          <w:rFonts w:hint="eastAsia" w:ascii="Arial" w:hAnsi="Arial" w:cs="Arial"/>
          <w:sz w:val="24"/>
          <w:szCs w:val="24"/>
        </w:rPr>
        <w:t>f</w:t>
      </w:r>
      <w:r>
        <w:rPr>
          <w:rFonts w:hint="eastAsia" w:ascii="Arial" w:hAnsi="Arial" w:cs="Arial"/>
          <w:sz w:val="24"/>
          <w:szCs w:val="24"/>
          <w:vertAlign w:val="subscript"/>
        </w:rPr>
        <w:t xml:space="preserve">c </w:t>
      </w:r>
      <w:r>
        <w:rPr>
          <w:rFonts w:hint="eastAsia" w:ascii="Arial" w:hAnsi="Arial" w:cs="Arial"/>
          <w:sz w:val="24"/>
          <w:szCs w:val="24"/>
        </w:rPr>
        <w:t>——混凝土轴心抗压强度设计值，当强度等级低于C35时，按C35取值；</w:t>
      </w:r>
    </w:p>
    <w:p>
      <w:pPr>
        <w:spacing w:line="360" w:lineRule="auto"/>
        <w:ind w:left="1260" w:leftChars="600"/>
        <w:jc w:val="left"/>
        <w:rPr>
          <w:rFonts w:ascii="Arial" w:hAnsi="Arial" w:cs="Arial"/>
          <w:sz w:val="24"/>
          <w:szCs w:val="24"/>
        </w:rPr>
      </w:pPr>
      <w:r>
        <w:rPr>
          <w:rFonts w:hint="eastAsia" w:ascii="Arial" w:hAnsi="Arial" w:cs="Arial"/>
          <w:sz w:val="24"/>
          <w:szCs w:val="24"/>
        </w:rPr>
        <w:t>f</w:t>
      </w:r>
      <w:r>
        <w:rPr>
          <w:rFonts w:hint="eastAsia" w:ascii="Arial" w:hAnsi="Arial" w:cs="Arial"/>
          <w:sz w:val="24"/>
          <w:szCs w:val="24"/>
          <w:vertAlign w:val="subscript"/>
        </w:rPr>
        <w:t>yv</w:t>
      </w:r>
      <w:r>
        <w:rPr>
          <w:rFonts w:ascii="Arial" w:hAnsi="Arial" w:cs="Arial"/>
          <w:sz w:val="24"/>
          <w:szCs w:val="24"/>
          <w:vertAlign w:val="subscript"/>
        </w:rPr>
        <w:t xml:space="preserve"> </w:t>
      </w:r>
      <w:r>
        <w:rPr>
          <w:rFonts w:hint="eastAsia" w:ascii="Arial" w:hAnsi="Arial" w:cs="Arial"/>
          <w:sz w:val="24"/>
          <w:szCs w:val="24"/>
        </w:rPr>
        <w:t>——箍筋及拉筋抗拉强度设计值；</w:t>
      </w:r>
    </w:p>
    <w:p>
      <w:pPr>
        <w:spacing w:before="156" w:beforeLines="50" w:after="156" w:afterLines="50" w:line="360" w:lineRule="auto"/>
        <w:ind w:right="420" w:rightChars="200"/>
        <w:jc w:val="center"/>
        <w:rPr>
          <w:rFonts w:ascii="Arial" w:hAnsi="Arial" w:cs="Arial"/>
          <w:sz w:val="24"/>
          <w:szCs w:val="24"/>
        </w:rPr>
      </w:pPr>
      <w:r>
        <w:drawing>
          <wp:inline distT="0" distB="0" distL="114300" distR="114300">
            <wp:extent cx="3888740" cy="4381500"/>
            <wp:effectExtent l="0" t="0" r="10160" b="0"/>
            <wp:docPr id="72"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2" name="图片 8"/>
                    <pic:cNvPicPr>
                      <a:picLocks noChangeAspect="true"/>
                    </pic:cNvPicPr>
                  </pic:nvPicPr>
                  <pic:blipFill>
                    <a:blip r:embed="rId35"/>
                    <a:stretch>
                      <a:fillRect/>
                    </a:stretch>
                  </pic:blipFill>
                  <pic:spPr>
                    <a:xfrm>
                      <a:off x="0" y="0"/>
                      <a:ext cx="3888740" cy="4381500"/>
                    </a:xfrm>
                    <a:prstGeom prst="rect">
                      <a:avLst/>
                    </a:prstGeom>
                    <a:noFill/>
                    <a:ln>
                      <a:noFill/>
                    </a:ln>
                  </pic:spPr>
                </pic:pic>
              </a:graphicData>
            </a:graphic>
          </wp:inline>
        </w:drawing>
      </w:r>
    </w:p>
    <w:p>
      <w:pPr>
        <w:spacing w:before="156" w:beforeLines="50" w:after="156" w:afterLines="50" w:line="360" w:lineRule="auto"/>
        <w:rPr>
          <w:rFonts w:ascii="Arial" w:hAnsi="Arial" w:cs="Arial"/>
          <w:sz w:val="24"/>
          <w:szCs w:val="24"/>
        </w:rPr>
      </w:pPr>
      <w:r>
        <w:rPr>
          <w:rFonts w:hint="eastAsia" w:ascii="Arial" w:hAnsi="Arial" w:cs="Arial"/>
          <w:sz w:val="24"/>
          <w:szCs w:val="24"/>
        </w:rPr>
        <w:t>7.4.9 考虑地震作用组合的型钢混凝土框架柱非加密区箍筋的体积配箍率不宜小于加密区的一半；箍筋间距不应大于加密区箍筋间距的2倍。一、二级抗震等级，箍筋间距尚不应大于10倍纵筋直径；三、四级抗震等级，箍筋间距尚不应大于15倍纵筋直径。</w:t>
      </w:r>
    </w:p>
    <w:p>
      <w:pPr>
        <w:spacing w:line="360" w:lineRule="auto"/>
        <w:rPr>
          <w:rFonts w:ascii="Arial" w:hAnsi="Arial" w:cs="Arial"/>
          <w:sz w:val="24"/>
          <w:szCs w:val="24"/>
        </w:rPr>
      </w:pPr>
      <w:r>
        <w:rPr>
          <w:rFonts w:hint="eastAsia" w:ascii="Arial" w:hAnsi="Arial" w:cs="Arial"/>
          <w:sz w:val="24"/>
          <w:szCs w:val="24"/>
        </w:rPr>
        <w:t>7.4.10 考虑地震作用组合的型钢混凝土框架柱，应采用封闭复合箍筋，其末端应有135°弯钩，弯钩端头平直段长度不应小于10倍箍筋直径。截面中纵向钢筋在两个方向宜有箍筋或拉筋约束。</w:t>
      </w:r>
    </w:p>
    <w:p>
      <w:pPr>
        <w:spacing w:line="360" w:lineRule="auto"/>
        <w:rPr>
          <w:rFonts w:ascii="Arial" w:hAnsi="Arial" w:cs="Arial"/>
          <w:sz w:val="24"/>
          <w:szCs w:val="24"/>
        </w:rPr>
      </w:pPr>
      <w:r>
        <w:rPr>
          <w:rFonts w:hint="eastAsia" w:ascii="Arial" w:hAnsi="Arial" w:cs="Arial"/>
          <w:sz w:val="24"/>
          <w:szCs w:val="24"/>
        </w:rPr>
        <w:t>7.5.18 型钢混凝土剪力墙、钢板混凝土剪力墙应符合下列构造要求：</w:t>
      </w:r>
    </w:p>
    <w:p>
      <w:pPr>
        <w:spacing w:line="360" w:lineRule="auto"/>
        <w:ind w:firstLine="480" w:firstLineChars="200"/>
        <w:rPr>
          <w:rFonts w:ascii="Arial" w:hAnsi="Arial" w:cs="Arial"/>
          <w:sz w:val="24"/>
          <w:szCs w:val="24"/>
        </w:rPr>
      </w:pPr>
      <w:r>
        <w:rPr>
          <w:rFonts w:hint="eastAsia" w:ascii="Arial" w:hAnsi="Arial" w:cs="Arial"/>
          <w:sz w:val="24"/>
          <w:szCs w:val="24"/>
        </w:rPr>
        <w:t>1 抗震设计时，一、二级抗震等级的型钢混凝土剪力墙、钢板混凝土剪力墙底部加强部位，其重力荷载代表值作用下墙肢的轴压比不宜超过本规程表5.4.5的限值，其轴压比可按下式计算：</w:t>
      </w:r>
    </w:p>
    <w:p>
      <w:pPr>
        <w:ind w:firstLine="2162" w:firstLineChars="900"/>
        <w:jc w:val="left"/>
        <w:rPr>
          <w:rFonts w:ascii="Arial" w:hAnsi="Arial" w:cs="Arial"/>
          <w:sz w:val="24"/>
          <w:szCs w:val="24"/>
        </w:rPr>
      </w:pPr>
      <w:r>
        <w:rPr>
          <w:rFonts w:hint="eastAsia" w:ascii="Malgun Gothic" w:hAnsi="Malgun Gothic" w:eastAsia="Malgun Gothic" w:cs="Malgun Gothic"/>
          <w:b/>
          <w:bCs/>
          <w:sz w:val="24"/>
          <w:szCs w:val="24"/>
        </w:rPr>
        <w:t>μ</w:t>
      </w:r>
      <w:r>
        <w:rPr>
          <w:rFonts w:hint="eastAsia" w:ascii="Malgun Gothic" w:hAnsi="Malgun Gothic" w:eastAsia="Malgun Gothic" w:cs="Malgun Gothic"/>
          <w:sz w:val="24"/>
          <w:szCs w:val="24"/>
          <w:vertAlign w:val="subscript"/>
        </w:rPr>
        <w:t>N</w:t>
      </w:r>
      <w:r>
        <w:rPr>
          <w:rFonts w:hint="eastAsia" w:ascii="Malgun Gothic" w:hAnsi="Malgun Gothic" w:eastAsia="Malgun Gothic" w:cs="Malgun Gothic"/>
          <w:sz w:val="24"/>
          <w:szCs w:val="24"/>
        </w:rPr>
        <w:t>=N/(f</w:t>
      </w:r>
      <w:r>
        <w:rPr>
          <w:rFonts w:hint="eastAsia" w:ascii="Malgun Gothic" w:hAnsi="Malgun Gothic" w:eastAsia="Malgun Gothic" w:cs="Malgun Gothic"/>
          <w:sz w:val="24"/>
          <w:szCs w:val="24"/>
          <w:vertAlign w:val="subscript"/>
        </w:rPr>
        <w:t>c</w:t>
      </w:r>
      <w:r>
        <w:rPr>
          <w:rFonts w:hint="eastAsia" w:ascii="Malgun Gothic" w:hAnsi="Malgun Gothic" w:eastAsia="Malgun Gothic" w:cs="Malgun Gothic"/>
          <w:sz w:val="24"/>
          <w:szCs w:val="24"/>
        </w:rPr>
        <w:t>A</w:t>
      </w:r>
      <w:r>
        <w:rPr>
          <w:rFonts w:hint="eastAsia" w:ascii="Malgun Gothic" w:hAnsi="Malgun Gothic" w:eastAsia="Malgun Gothic" w:cs="Malgun Gothic"/>
          <w:sz w:val="24"/>
          <w:szCs w:val="24"/>
          <w:vertAlign w:val="subscript"/>
        </w:rPr>
        <w:t>c</w:t>
      </w:r>
      <w:r>
        <w:rPr>
          <w:rFonts w:hint="eastAsia" w:ascii="Malgun Gothic" w:hAnsi="Malgun Gothic" w:eastAsia="Malgun Gothic" w:cs="Malgun Gothic"/>
          <w:sz w:val="24"/>
          <w:szCs w:val="24"/>
        </w:rPr>
        <w:t>+f</w:t>
      </w:r>
      <w:r>
        <w:rPr>
          <w:rFonts w:hint="eastAsia" w:ascii="Malgun Gothic" w:hAnsi="Malgun Gothic" w:eastAsia="Malgun Gothic" w:cs="Malgun Gothic"/>
          <w:sz w:val="24"/>
          <w:szCs w:val="24"/>
          <w:vertAlign w:val="subscript"/>
        </w:rPr>
        <w:t>a</w:t>
      </w:r>
      <w:r>
        <w:rPr>
          <w:rFonts w:hint="eastAsia" w:ascii="Malgun Gothic" w:hAnsi="Malgun Gothic" w:eastAsia="Malgun Gothic" w:cs="Malgun Gothic"/>
          <w:sz w:val="24"/>
          <w:szCs w:val="24"/>
        </w:rPr>
        <w:t>A</w:t>
      </w:r>
      <w:r>
        <w:rPr>
          <w:rFonts w:hint="eastAsia" w:ascii="Malgun Gothic" w:hAnsi="Malgun Gothic" w:eastAsia="Malgun Gothic" w:cs="Malgun Gothic"/>
          <w:sz w:val="24"/>
          <w:szCs w:val="24"/>
          <w:vertAlign w:val="subscript"/>
        </w:rPr>
        <w:t>a</w:t>
      </w:r>
      <w:r>
        <w:rPr>
          <w:rFonts w:hint="eastAsia" w:ascii="Malgun Gothic" w:hAnsi="Malgun Gothic" w:eastAsia="Malgun Gothic" w:cs="Malgun Gothic"/>
          <w:sz w:val="24"/>
          <w:szCs w:val="24"/>
        </w:rPr>
        <w:t>+f</w:t>
      </w:r>
      <w:r>
        <w:rPr>
          <w:rFonts w:hint="eastAsia" w:ascii="Malgun Gothic" w:hAnsi="Malgun Gothic" w:eastAsia="Malgun Gothic" w:cs="Malgun Gothic"/>
          <w:sz w:val="24"/>
          <w:szCs w:val="24"/>
          <w:vertAlign w:val="subscript"/>
        </w:rPr>
        <w:t>sp</w:t>
      </w:r>
      <w:r>
        <w:rPr>
          <w:rFonts w:hint="eastAsia" w:ascii="Malgun Gothic" w:hAnsi="Malgun Gothic" w:eastAsia="Malgun Gothic" w:cs="Malgun Gothic"/>
          <w:sz w:val="24"/>
          <w:szCs w:val="24"/>
        </w:rPr>
        <w:t>A</w:t>
      </w:r>
      <w:r>
        <w:rPr>
          <w:rFonts w:hint="eastAsia" w:ascii="Malgun Gothic" w:hAnsi="Malgun Gothic" w:eastAsia="Malgun Gothic" w:cs="Malgun Gothic"/>
          <w:sz w:val="24"/>
          <w:szCs w:val="24"/>
          <w:vertAlign w:val="subscript"/>
        </w:rPr>
        <w:t>sp</w:t>
      </w:r>
      <w:r>
        <w:rPr>
          <w:rFonts w:hint="eastAsia" w:ascii="Malgun Gothic" w:hAnsi="Malgun Gothic" w:eastAsia="Malgun Gothic" w:cs="Malgun Gothic"/>
          <w:sz w:val="24"/>
          <w:szCs w:val="24"/>
        </w:rPr>
        <w:t>)</w:t>
      </w:r>
      <w:r>
        <w:rPr>
          <w:rFonts w:hint="eastAsia" w:ascii="Arial" w:hAnsi="Arial" w:cs="Arial"/>
          <w:sz w:val="24"/>
          <w:szCs w:val="24"/>
        </w:rPr>
        <w:t xml:space="preserve">              （7.5.18）</w:t>
      </w:r>
    </w:p>
    <w:p>
      <w:pPr>
        <w:spacing w:line="360" w:lineRule="auto"/>
        <w:ind w:firstLine="480" w:firstLineChars="200"/>
        <w:jc w:val="left"/>
        <w:rPr>
          <w:rFonts w:ascii="Arial" w:hAnsi="Arial" w:cs="Arial"/>
          <w:sz w:val="24"/>
          <w:szCs w:val="24"/>
        </w:rPr>
      </w:pPr>
      <w:r>
        <w:rPr>
          <w:rFonts w:hint="eastAsia" w:ascii="Arial" w:hAnsi="Arial" w:cs="Arial"/>
          <w:sz w:val="24"/>
          <w:szCs w:val="24"/>
        </w:rPr>
        <w:t>式中：N ——重力荷载代表值下墙肢的轴向压力设计值；</w:t>
      </w:r>
    </w:p>
    <w:p>
      <w:pPr>
        <w:spacing w:line="360" w:lineRule="auto"/>
        <w:ind w:left="1208" w:leftChars="575"/>
        <w:jc w:val="left"/>
        <w:rPr>
          <w:rFonts w:ascii="Arial" w:hAnsi="Arial" w:cs="Arial"/>
          <w:sz w:val="24"/>
          <w:szCs w:val="24"/>
        </w:rPr>
      </w:pPr>
      <w:r>
        <w:rPr>
          <w:rFonts w:hint="eastAsia" w:ascii="Arial" w:hAnsi="Arial" w:cs="Arial"/>
          <w:sz w:val="24"/>
          <w:szCs w:val="24"/>
        </w:rPr>
        <w:t>A</w:t>
      </w:r>
      <w:r>
        <w:rPr>
          <w:rFonts w:hint="eastAsia" w:ascii="Arial" w:hAnsi="Arial" w:cs="Arial"/>
          <w:sz w:val="24"/>
          <w:szCs w:val="24"/>
          <w:vertAlign w:val="subscript"/>
        </w:rPr>
        <w:t xml:space="preserve">c </w:t>
      </w:r>
      <w:r>
        <w:rPr>
          <w:rFonts w:hint="eastAsia" w:ascii="Arial" w:hAnsi="Arial" w:cs="Arial"/>
          <w:sz w:val="24"/>
          <w:szCs w:val="24"/>
        </w:rPr>
        <w:t>——剪力墙墙肢混凝土截面面积；</w:t>
      </w:r>
    </w:p>
    <w:p>
      <w:pPr>
        <w:spacing w:line="360" w:lineRule="auto"/>
        <w:ind w:left="1208" w:leftChars="575"/>
        <w:jc w:val="left"/>
        <w:rPr>
          <w:rFonts w:ascii="Arial" w:hAnsi="Arial" w:cs="Arial"/>
          <w:sz w:val="24"/>
          <w:szCs w:val="24"/>
        </w:rPr>
      </w:pPr>
      <w:r>
        <w:rPr>
          <w:rFonts w:hint="eastAsia" w:ascii="Arial" w:hAnsi="Arial" w:cs="Arial"/>
          <w:sz w:val="24"/>
          <w:szCs w:val="24"/>
        </w:rPr>
        <w:t>A</w:t>
      </w:r>
      <w:r>
        <w:rPr>
          <w:rFonts w:hint="eastAsia" w:ascii="Arial" w:hAnsi="Arial" w:cs="Arial"/>
          <w:sz w:val="24"/>
          <w:szCs w:val="24"/>
          <w:vertAlign w:val="subscript"/>
        </w:rPr>
        <w:t xml:space="preserve">a </w:t>
      </w:r>
      <w:r>
        <w:rPr>
          <w:rFonts w:hint="eastAsia" w:ascii="Arial" w:hAnsi="Arial" w:cs="Arial"/>
          <w:sz w:val="24"/>
          <w:szCs w:val="24"/>
        </w:rPr>
        <w:t>——剪力墙所配型钢的全部截面面积；</w:t>
      </w:r>
    </w:p>
    <w:p>
      <w:pPr>
        <w:spacing w:line="360" w:lineRule="auto"/>
        <w:ind w:firstLine="480" w:firstLineChars="200"/>
        <w:rPr>
          <w:rFonts w:ascii="Arial" w:hAnsi="Arial" w:cs="Arial"/>
          <w:sz w:val="24"/>
          <w:szCs w:val="24"/>
        </w:rPr>
      </w:pPr>
      <w:r>
        <w:rPr>
          <w:rFonts w:hint="eastAsia" w:ascii="Arial" w:hAnsi="Arial" w:cs="Arial"/>
          <w:sz w:val="24"/>
          <w:szCs w:val="24"/>
        </w:rPr>
        <w:t>4</w:t>
      </w:r>
      <w:r>
        <w:rPr>
          <w:rFonts w:ascii="Arial" w:hAnsi="Arial" w:cs="Arial"/>
          <w:sz w:val="24"/>
          <w:szCs w:val="24"/>
        </w:rPr>
        <w:t xml:space="preserve"> </w:t>
      </w:r>
      <w:r>
        <w:rPr>
          <w:rFonts w:hint="eastAsia" w:ascii="Arial" w:hAnsi="Arial" w:cs="Arial"/>
          <w:sz w:val="24"/>
          <w:szCs w:val="24"/>
        </w:rPr>
        <w:t>周边有型钢混凝土柱和梁的现浇钢筋混凝土剪力墙，剪力墙的水平分布钢筋应绕过或穿过周边柱型钢，且应满足钢筋锚固长度要求。当采用间隔穿过时，宜另加补强钢筋。周边柱的型钢、纵向钢筋、箍筋配置应符合型钢混凝土柱的设计要求。</w:t>
      </w:r>
    </w:p>
    <w:p>
      <w:pPr>
        <w:spacing w:line="360" w:lineRule="auto"/>
        <w:ind w:firstLine="480" w:firstLineChars="200"/>
        <w:rPr>
          <w:rFonts w:ascii="Arial" w:hAnsi="Arial" w:cs="Arial"/>
          <w:sz w:val="24"/>
          <w:szCs w:val="24"/>
        </w:rPr>
      </w:pPr>
    </w:p>
    <w:p>
      <w:pPr>
        <w:spacing w:line="360" w:lineRule="auto"/>
        <w:rPr>
          <w:rFonts w:ascii="Arial" w:hAnsi="Arial" w:eastAsia="黑体" w:cs="Arial"/>
          <w:sz w:val="24"/>
          <w:szCs w:val="24"/>
        </w:rPr>
      </w:pPr>
      <w:r>
        <w:rPr>
          <w:rFonts w:hint="eastAsia" w:ascii="Arial" w:hAnsi="Arial" w:eastAsia="黑体" w:cs="Arial"/>
          <w:sz w:val="24"/>
          <w:szCs w:val="24"/>
        </w:rPr>
        <w:t>《膜结构技术标准》DG/TJ08</w:t>
      </w:r>
      <w:r>
        <w:rPr>
          <w:rFonts w:ascii="Arial" w:hAnsi="Arial" w:eastAsia="黑体" w:cs="Arial"/>
          <w:sz w:val="24"/>
          <w:szCs w:val="24"/>
        </w:rPr>
        <w:t>-</w:t>
      </w:r>
      <w:r>
        <w:rPr>
          <w:rFonts w:hint="eastAsia" w:ascii="Arial" w:hAnsi="Arial" w:eastAsia="黑体" w:cs="Arial"/>
          <w:sz w:val="24"/>
          <w:szCs w:val="24"/>
        </w:rPr>
        <w:t>97</w:t>
      </w:r>
      <w:r>
        <w:rPr>
          <w:rFonts w:ascii="Arial" w:hAnsi="Arial" w:eastAsia="黑体" w:cs="Arial"/>
          <w:sz w:val="24"/>
          <w:szCs w:val="24"/>
        </w:rPr>
        <w:t>-</w:t>
      </w:r>
      <w:r>
        <w:rPr>
          <w:rFonts w:hint="eastAsia" w:ascii="Arial" w:hAnsi="Arial" w:eastAsia="黑体" w:cs="Arial"/>
          <w:sz w:val="24"/>
          <w:szCs w:val="24"/>
        </w:rPr>
        <w:t>2019</w:t>
      </w:r>
    </w:p>
    <w:p>
      <w:pPr>
        <w:spacing w:line="360" w:lineRule="auto"/>
        <w:rPr>
          <w:rFonts w:ascii="Arial" w:hAnsi="Arial" w:cs="Arial"/>
          <w:sz w:val="24"/>
          <w:szCs w:val="24"/>
        </w:rPr>
      </w:pPr>
      <w:r>
        <w:rPr>
          <w:rFonts w:hint="eastAsia" w:ascii="Arial" w:hAnsi="Arial" w:cs="Arial"/>
          <w:sz w:val="24"/>
          <w:szCs w:val="24"/>
        </w:rPr>
        <w:t>4.1.6 膜面的最大主应力应大于零，且不应大于膜材的强度设计值；在永久荷载作用下，膜面任何点的最小主应力不应小于维持其初始平衡形状的应力值；在其他荷载参与的组合作用下，膜面单元的最小主应力为零的区域不应大于该单元面积的10%，且不应导致结构失效或连续性倒塌。</w:t>
      </w:r>
    </w:p>
    <w:p>
      <w:pPr>
        <w:spacing w:line="360" w:lineRule="auto"/>
        <w:rPr>
          <w:rFonts w:ascii="Arial" w:hAnsi="Arial" w:eastAsia="黑体" w:cs="Arial"/>
          <w:sz w:val="24"/>
          <w:szCs w:val="24"/>
        </w:rPr>
      </w:pPr>
    </w:p>
    <w:p>
      <w:pPr>
        <w:spacing w:line="360" w:lineRule="auto"/>
        <w:rPr>
          <w:rFonts w:ascii="Arial" w:hAnsi="Arial" w:eastAsia="黑体" w:cs="Arial"/>
          <w:b/>
          <w:szCs w:val="21"/>
        </w:rPr>
      </w:pPr>
      <w:r>
        <w:rPr>
          <w:rFonts w:ascii="Arial" w:hAnsi="Arial" w:eastAsia="黑体" w:cs="Arial"/>
          <w:sz w:val="24"/>
          <w:szCs w:val="24"/>
        </w:rPr>
        <w:t>《建筑幕墙工程技术</w:t>
      </w:r>
      <w:r>
        <w:rPr>
          <w:rFonts w:hint="eastAsia" w:ascii="Arial" w:hAnsi="Arial" w:eastAsia="黑体" w:cs="Arial"/>
          <w:sz w:val="24"/>
          <w:szCs w:val="24"/>
        </w:rPr>
        <w:t>标准</w:t>
      </w:r>
      <w:r>
        <w:rPr>
          <w:rFonts w:ascii="Arial" w:hAnsi="Arial" w:eastAsia="黑体" w:cs="Arial"/>
          <w:sz w:val="24"/>
          <w:szCs w:val="24"/>
        </w:rPr>
        <w:t>》DG/</w:t>
      </w:r>
      <w:r>
        <w:rPr>
          <w:rFonts w:hint="eastAsia" w:ascii="Arial" w:hAnsi="Arial" w:eastAsia="黑体" w:cs="Arial"/>
          <w:sz w:val="24"/>
          <w:szCs w:val="24"/>
        </w:rPr>
        <w:t>T</w:t>
      </w:r>
      <w:r>
        <w:rPr>
          <w:rFonts w:ascii="Arial" w:hAnsi="Arial" w:eastAsia="黑体" w:cs="Arial"/>
          <w:sz w:val="24"/>
          <w:szCs w:val="24"/>
        </w:rPr>
        <w:t>J08-56-201</w:t>
      </w:r>
      <w:r>
        <w:rPr>
          <w:rFonts w:hint="eastAsia" w:ascii="Arial" w:hAnsi="Arial" w:eastAsia="黑体" w:cs="Arial"/>
          <w:sz w:val="24"/>
          <w:szCs w:val="24"/>
        </w:rPr>
        <w:t>9</w:t>
      </w:r>
    </w:p>
    <w:p>
      <w:pPr>
        <w:spacing w:line="360" w:lineRule="auto"/>
        <w:rPr>
          <w:rFonts w:ascii="Arial" w:hAnsi="Arial" w:cs="Arial"/>
          <w:sz w:val="24"/>
          <w:szCs w:val="24"/>
        </w:rPr>
      </w:pPr>
      <w:r>
        <w:rPr>
          <w:rFonts w:ascii="Arial" w:hAnsi="Arial" w:cs="Arial"/>
          <w:sz w:val="24"/>
          <w:szCs w:val="24"/>
        </w:rPr>
        <w:t>10.5.8 建筑幕墙应避免使用后置埋件。使用后置埋件应符合本标准附录D和《混凝土结构后锚固技术规程》JGJ145规定，选择合适的锚栓类型，保证连接的可靠性，并符合下列条件：</w:t>
      </w:r>
    </w:p>
    <w:p>
      <w:pPr>
        <w:spacing w:line="360" w:lineRule="auto"/>
        <w:rPr>
          <w:rFonts w:ascii="Arial" w:hAnsi="Arial" w:cs="Arial"/>
          <w:sz w:val="24"/>
          <w:szCs w:val="24"/>
        </w:rPr>
      </w:pPr>
      <w:r>
        <w:rPr>
          <w:rFonts w:hint="eastAsia" w:ascii="Arial" w:hAnsi="Arial" w:cs="Arial"/>
          <w:sz w:val="24"/>
          <w:szCs w:val="24"/>
        </w:rPr>
        <w:t xml:space="preserve"> </w:t>
      </w:r>
      <w:r>
        <w:rPr>
          <w:rFonts w:ascii="Arial" w:hAnsi="Arial" w:cs="Arial"/>
          <w:sz w:val="24"/>
          <w:szCs w:val="24"/>
        </w:rPr>
        <w:t xml:space="preserve">    2  锚栓直径和数量应经过计算确定。锚栓直径不小于10mm，每个后置埋件上不得少于2个锚栓。</w:t>
      </w:r>
    </w:p>
    <w:p>
      <w:pPr>
        <w:spacing w:line="360" w:lineRule="auto"/>
        <w:rPr>
          <w:rFonts w:ascii="Arial" w:hAnsi="Arial" w:cs="Arial"/>
          <w:sz w:val="24"/>
          <w:szCs w:val="24"/>
        </w:rPr>
      </w:pPr>
      <w:r>
        <w:rPr>
          <w:rFonts w:hint="eastAsia" w:ascii="Arial" w:hAnsi="Arial" w:cs="Arial"/>
          <w:sz w:val="24"/>
          <w:szCs w:val="24"/>
        </w:rPr>
        <w:t>11.4.5</w:t>
      </w:r>
      <w:r>
        <w:rPr>
          <w:rFonts w:ascii="Arial" w:hAnsi="Arial" w:cs="Arial"/>
          <w:sz w:val="24"/>
          <w:szCs w:val="24"/>
        </w:rPr>
        <w:t xml:space="preserve"> 面板厚度应经过强度计算确定。磨光面板厚度，花岗岩不应小于25mm，火烧板厚度以计算厚度加3mm；其他石材厚度不小于35mm。高层建筑、重要建筑及临街建筑立面，花岗岩面板厚度不应小于30mm。</w:t>
      </w:r>
    </w:p>
    <w:p>
      <w:pPr>
        <w:spacing w:line="360" w:lineRule="auto"/>
        <w:rPr>
          <w:rFonts w:ascii="Arial" w:hAnsi="Arial" w:cs="Arial"/>
          <w:sz w:val="24"/>
          <w:szCs w:val="24"/>
        </w:rPr>
      </w:pPr>
      <w:r>
        <w:rPr>
          <w:rFonts w:hint="eastAsia" w:ascii="Arial" w:hAnsi="Arial" w:cs="Arial"/>
          <w:sz w:val="24"/>
          <w:szCs w:val="24"/>
        </w:rPr>
        <w:t>13.2.1</w:t>
      </w:r>
      <w:r>
        <w:rPr>
          <w:rFonts w:ascii="Arial" w:hAnsi="Arial" w:cs="Arial"/>
          <w:sz w:val="24"/>
          <w:szCs w:val="24"/>
        </w:rPr>
        <w:t xml:space="preserve"> 横梁截面主要受力部位的厚度：</w:t>
      </w:r>
    </w:p>
    <w:p>
      <w:pPr>
        <w:spacing w:line="360" w:lineRule="auto"/>
        <w:rPr>
          <w:rFonts w:ascii="Arial" w:hAnsi="Arial" w:cs="Arial"/>
          <w:sz w:val="24"/>
          <w:szCs w:val="24"/>
        </w:rPr>
      </w:pPr>
      <w:r>
        <w:rPr>
          <w:rFonts w:hint="eastAsia" w:ascii="Arial" w:hAnsi="Arial" w:cs="Arial"/>
          <w:sz w:val="24"/>
          <w:szCs w:val="24"/>
        </w:rPr>
        <w:t xml:space="preserve"> </w:t>
      </w:r>
      <w:r>
        <w:rPr>
          <w:rFonts w:ascii="Arial" w:hAnsi="Arial" w:cs="Arial"/>
          <w:sz w:val="24"/>
          <w:szCs w:val="24"/>
        </w:rPr>
        <w:t xml:space="preserve">     1 截面自由挑出部位（图13.2.1a）和双侧加劲部位（图13.2.1b）的宽厚比b</w:t>
      </w:r>
      <w:r>
        <w:rPr>
          <w:rFonts w:ascii="Arial" w:hAnsi="Arial" w:cs="Arial"/>
          <w:sz w:val="24"/>
          <w:szCs w:val="24"/>
          <w:vertAlign w:val="subscript"/>
        </w:rPr>
        <w:t>0</w:t>
      </w:r>
      <w:r>
        <w:rPr>
          <w:rFonts w:ascii="Arial" w:hAnsi="Arial" w:cs="Arial"/>
          <w:sz w:val="24"/>
          <w:szCs w:val="24"/>
        </w:rPr>
        <w:t>/t应满足表13.2.1的要求并符合《铝合金结构设计规范》GB50429、《冷弯薄壁型钢结构技术规范》GB50018的规定。</w:t>
      </w:r>
    </w:p>
    <w:p>
      <w:pPr>
        <w:spacing w:line="360" w:lineRule="auto"/>
        <w:rPr>
          <w:rFonts w:ascii="Arial" w:hAnsi="Arial" w:cs="Arial"/>
          <w:sz w:val="24"/>
          <w:szCs w:val="24"/>
        </w:rPr>
      </w:pPr>
      <w:r>
        <w:drawing>
          <wp:inline distT="0" distB="0" distL="0" distR="0">
            <wp:extent cx="5274310" cy="3698875"/>
            <wp:effectExtent l="0" t="0" r="2540" b="0"/>
            <wp:docPr id="30" name="图片 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true"/>
                    </pic:cNvPicPr>
                  </pic:nvPicPr>
                  <pic:blipFill>
                    <a:blip r:embed="rId36"/>
                    <a:stretch>
                      <a:fillRect/>
                    </a:stretch>
                  </pic:blipFill>
                  <pic:spPr>
                    <a:xfrm>
                      <a:off x="0" y="0"/>
                      <a:ext cx="5274310" cy="3698875"/>
                    </a:xfrm>
                    <a:prstGeom prst="rect">
                      <a:avLst/>
                    </a:prstGeom>
                  </pic:spPr>
                </pic:pic>
              </a:graphicData>
            </a:graphic>
          </wp:inline>
        </w:drawing>
      </w:r>
    </w:p>
    <w:p>
      <w:pPr>
        <w:spacing w:line="360" w:lineRule="auto"/>
        <w:rPr>
          <w:rFonts w:ascii="Arial" w:hAnsi="Arial" w:cs="Arial"/>
          <w:sz w:val="24"/>
          <w:szCs w:val="24"/>
        </w:rPr>
      </w:pPr>
      <w:r>
        <w:rPr>
          <w:rFonts w:ascii="Arial" w:hAnsi="Arial" w:cs="Arial"/>
          <w:sz w:val="24"/>
          <w:szCs w:val="24"/>
        </w:rPr>
        <w:t xml:space="preserve">   2 当横梁跨度不大于1.2m时，铝合金型材截面主要受力部位的厚度不应小于2.0mm；当横梁跨度大于1.2m时，其截面主要受力部位的厚度不应小于2.5mm。</w:t>
      </w:r>
    </w:p>
    <w:p>
      <w:pPr>
        <w:spacing w:line="360" w:lineRule="auto"/>
        <w:rPr>
          <w:rFonts w:ascii="Arial" w:hAnsi="Arial" w:cs="Arial"/>
          <w:sz w:val="24"/>
          <w:szCs w:val="24"/>
        </w:rPr>
      </w:pPr>
      <w:r>
        <w:rPr>
          <w:rFonts w:ascii="Arial" w:hAnsi="Arial" w:cs="Arial"/>
          <w:sz w:val="24"/>
          <w:szCs w:val="24"/>
        </w:rPr>
        <w:t xml:space="preserve">   3 热轧钢型材截面主要受力部位的厚度不应小于3.0mm。除热轧型材外，焊接部位厚度不应小于4.0mm。</w:t>
      </w:r>
    </w:p>
    <w:p>
      <w:pPr>
        <w:spacing w:line="360" w:lineRule="auto"/>
        <w:rPr>
          <w:rFonts w:ascii="Arial" w:hAnsi="Arial" w:cs="Arial"/>
          <w:sz w:val="24"/>
          <w:szCs w:val="24"/>
        </w:rPr>
      </w:pPr>
      <w:r>
        <w:rPr>
          <w:rFonts w:hint="eastAsia" w:ascii="Arial" w:hAnsi="Arial" w:cs="Arial"/>
          <w:sz w:val="24"/>
          <w:szCs w:val="24"/>
        </w:rPr>
        <w:t>13.3.8</w:t>
      </w:r>
      <w:r>
        <w:rPr>
          <w:rFonts w:ascii="Arial" w:hAnsi="Arial" w:cs="Arial"/>
          <w:sz w:val="24"/>
          <w:szCs w:val="24"/>
        </w:rPr>
        <w:t xml:space="preserve"> 立柱截面主要受力部位的厚度：</w:t>
      </w:r>
    </w:p>
    <w:p>
      <w:pPr>
        <w:spacing w:line="360" w:lineRule="auto"/>
        <w:rPr>
          <w:rFonts w:ascii="Arial" w:hAnsi="Arial" w:cs="Arial"/>
          <w:sz w:val="24"/>
          <w:szCs w:val="24"/>
        </w:rPr>
      </w:pPr>
      <w:r>
        <w:rPr>
          <w:rFonts w:hint="eastAsia" w:ascii="Arial" w:hAnsi="Arial" w:cs="Arial"/>
          <w:sz w:val="24"/>
          <w:szCs w:val="24"/>
        </w:rPr>
        <w:t xml:space="preserve"> </w:t>
      </w:r>
      <w:r>
        <w:rPr>
          <w:rFonts w:ascii="Arial" w:hAnsi="Arial" w:cs="Arial"/>
          <w:sz w:val="24"/>
          <w:szCs w:val="24"/>
        </w:rPr>
        <w:t xml:space="preserve">  1  铝型材截面开口部位厚度不应小于3.0mm，闭口部位厚度不应小于2.5mm。</w:t>
      </w:r>
    </w:p>
    <w:p>
      <w:pPr>
        <w:spacing w:line="360" w:lineRule="auto"/>
        <w:rPr>
          <w:rFonts w:ascii="Arial" w:hAnsi="Arial" w:cs="Arial"/>
          <w:sz w:val="24"/>
          <w:szCs w:val="24"/>
        </w:rPr>
      </w:pPr>
      <w:r>
        <w:rPr>
          <w:rFonts w:ascii="Arial" w:hAnsi="Arial" w:cs="Arial"/>
          <w:sz w:val="24"/>
          <w:szCs w:val="24"/>
        </w:rPr>
        <w:t xml:space="preserve">   2  热轧钢型材截面主要受力部位厚度不应小于3.0mm，焊接部位厚度不应小于4.0mm。</w:t>
      </w:r>
    </w:p>
    <w:p>
      <w:pPr>
        <w:spacing w:line="360" w:lineRule="auto"/>
        <w:rPr>
          <w:rFonts w:ascii="Arial" w:hAnsi="Arial" w:cs="Arial"/>
          <w:sz w:val="24"/>
          <w:szCs w:val="24"/>
        </w:rPr>
      </w:pPr>
      <w:r>
        <w:rPr>
          <w:rFonts w:ascii="Arial" w:hAnsi="Arial" w:cs="Arial"/>
          <w:sz w:val="24"/>
          <w:szCs w:val="24"/>
        </w:rPr>
        <w:t xml:space="preserve">   3  立柱的截面宽厚比应符合本标准13.2.1条规定。</w:t>
      </w:r>
    </w:p>
    <w:p>
      <w:pPr>
        <w:spacing w:line="360" w:lineRule="auto"/>
        <w:rPr>
          <w:rFonts w:ascii="Arial" w:hAnsi="Arial" w:cs="Arial"/>
          <w:sz w:val="24"/>
          <w:szCs w:val="24"/>
        </w:rPr>
      </w:pPr>
      <w:r>
        <w:rPr>
          <w:rFonts w:ascii="Arial" w:hAnsi="Arial" w:cs="Arial"/>
          <w:sz w:val="24"/>
          <w:szCs w:val="24"/>
        </w:rPr>
        <w:t xml:space="preserve">   4  螺钉连接处立柱型材壁厚应符合13.2.7条规定。销钉连接处立柱型材壁厚应符合13.2.4条规定。</w:t>
      </w:r>
    </w:p>
    <w:p>
      <w:pPr>
        <w:spacing w:line="360" w:lineRule="auto"/>
        <w:rPr>
          <w:rFonts w:ascii="Arial" w:hAnsi="Arial" w:cs="Arial"/>
          <w:sz w:val="24"/>
          <w:szCs w:val="24"/>
        </w:rPr>
      </w:pPr>
      <w:r>
        <w:rPr>
          <w:rFonts w:hint="eastAsia" w:ascii="Arial" w:hAnsi="Arial" w:cs="Arial"/>
          <w:sz w:val="24"/>
          <w:szCs w:val="24"/>
        </w:rPr>
        <w:t>C.1.10</w:t>
      </w:r>
      <w:r>
        <w:rPr>
          <w:rFonts w:ascii="Arial" w:hAnsi="Arial" w:cs="Arial"/>
          <w:sz w:val="24"/>
          <w:szCs w:val="24"/>
        </w:rPr>
        <w:t xml:space="preserve"> </w:t>
      </w:r>
      <w:r>
        <w:rPr>
          <w:rFonts w:hint="eastAsia" w:ascii="Arial" w:hAnsi="Arial" w:cs="Arial"/>
          <w:sz w:val="24"/>
          <w:szCs w:val="24"/>
        </w:rPr>
        <w:t>按C.1.4条或C.1.6第1款设计时，隔热体外的荷载，应通过螺钉传递至主截面</w:t>
      </w:r>
      <w:r>
        <w:rPr>
          <w:rFonts w:ascii="Arial" w:hAnsi="Arial" w:cs="Arial"/>
          <w:sz w:val="24"/>
          <w:szCs w:val="24"/>
        </w:rPr>
        <w:t>。</w:t>
      </w:r>
      <w:r>
        <w:rPr>
          <w:rFonts w:hint="eastAsia" w:ascii="Arial" w:hAnsi="Arial" w:cs="Arial"/>
          <w:sz w:val="24"/>
          <w:szCs w:val="24"/>
        </w:rPr>
        <w:t>螺钉直径不小于6mm，螺钉间距经计算确定，不应大于300mm。</w:t>
      </w:r>
    </w:p>
    <w:p>
      <w:pPr>
        <w:spacing w:line="360" w:lineRule="auto"/>
        <w:rPr>
          <w:rFonts w:ascii="Arial" w:hAnsi="Arial" w:eastAsia="黑体" w:cs="Arial"/>
          <w:sz w:val="24"/>
          <w:szCs w:val="24"/>
        </w:rPr>
      </w:pPr>
    </w:p>
    <w:p>
      <w:pPr>
        <w:spacing w:line="360" w:lineRule="auto"/>
        <w:rPr>
          <w:rFonts w:ascii="Arial" w:hAnsi="Arial" w:eastAsia="黑体" w:cs="Arial"/>
          <w:b/>
          <w:szCs w:val="21"/>
        </w:rPr>
      </w:pPr>
      <w:r>
        <w:rPr>
          <w:rFonts w:ascii="Arial" w:hAnsi="Arial" w:eastAsia="黑体" w:cs="Arial"/>
          <w:sz w:val="24"/>
          <w:szCs w:val="24"/>
        </w:rPr>
        <w:t>《</w:t>
      </w:r>
      <w:r>
        <w:rPr>
          <w:rFonts w:hint="eastAsia" w:ascii="Arial" w:hAnsi="Arial" w:eastAsia="黑体" w:cs="Arial"/>
          <w:sz w:val="24"/>
          <w:szCs w:val="24"/>
        </w:rPr>
        <w:t>住宅设计标准</w:t>
      </w:r>
      <w:r>
        <w:rPr>
          <w:rFonts w:ascii="Arial" w:hAnsi="Arial" w:eastAsia="黑体" w:cs="Arial"/>
          <w:sz w:val="24"/>
          <w:szCs w:val="24"/>
        </w:rPr>
        <w:t>》DGJ08-</w:t>
      </w:r>
      <w:r>
        <w:rPr>
          <w:rFonts w:hint="eastAsia" w:ascii="Arial" w:hAnsi="Arial" w:eastAsia="黑体" w:cs="Arial"/>
          <w:sz w:val="24"/>
          <w:szCs w:val="24"/>
        </w:rPr>
        <w:t>20</w:t>
      </w:r>
      <w:r>
        <w:rPr>
          <w:rFonts w:ascii="Arial" w:hAnsi="Arial" w:eastAsia="黑体" w:cs="Arial"/>
          <w:sz w:val="24"/>
          <w:szCs w:val="24"/>
        </w:rPr>
        <w:t>-201</w:t>
      </w:r>
      <w:r>
        <w:rPr>
          <w:rFonts w:hint="eastAsia" w:ascii="Arial" w:hAnsi="Arial" w:eastAsia="黑体" w:cs="Arial"/>
          <w:sz w:val="24"/>
          <w:szCs w:val="24"/>
        </w:rPr>
        <w:t>9</w:t>
      </w:r>
    </w:p>
    <w:p>
      <w:pPr>
        <w:spacing w:line="360" w:lineRule="auto"/>
        <w:rPr>
          <w:rFonts w:ascii="Arial" w:hAnsi="Arial" w:cs="Arial"/>
          <w:sz w:val="24"/>
          <w:szCs w:val="24"/>
        </w:rPr>
      </w:pPr>
      <w:r>
        <w:rPr>
          <w:rFonts w:hint="eastAsia" w:ascii="Arial" w:hAnsi="Arial" w:cs="Arial"/>
          <w:sz w:val="24"/>
          <w:szCs w:val="24"/>
        </w:rPr>
        <w:t>9.0.18</w:t>
      </w:r>
      <w:r>
        <w:rPr>
          <w:rFonts w:ascii="Arial" w:hAnsi="Arial" w:cs="Arial"/>
          <w:sz w:val="24"/>
          <w:szCs w:val="24"/>
        </w:rPr>
        <w:t xml:space="preserve"> </w:t>
      </w:r>
      <w:r>
        <w:rPr>
          <w:rFonts w:hint="eastAsia" w:ascii="Arial" w:hAnsi="Arial" w:cs="Arial"/>
          <w:sz w:val="24"/>
          <w:szCs w:val="24"/>
        </w:rPr>
        <w:t>地基基础设计应符合以下要求：</w:t>
      </w:r>
    </w:p>
    <w:p>
      <w:pPr>
        <w:spacing w:line="360" w:lineRule="auto"/>
        <w:ind w:firstLine="480" w:firstLineChars="200"/>
        <w:rPr>
          <w:rFonts w:ascii="Arial" w:hAnsi="Arial" w:cs="Arial"/>
          <w:sz w:val="24"/>
          <w:szCs w:val="24"/>
        </w:rPr>
      </w:pPr>
      <w:r>
        <w:rPr>
          <w:rFonts w:hint="eastAsia" w:ascii="Arial" w:hAnsi="Arial" w:cs="Arial"/>
          <w:sz w:val="24"/>
          <w:szCs w:val="24"/>
        </w:rPr>
        <w:t>3</w:t>
      </w:r>
      <w:r>
        <w:rPr>
          <w:rFonts w:ascii="Arial" w:hAnsi="Arial" w:cs="Arial"/>
          <w:sz w:val="24"/>
          <w:szCs w:val="24"/>
        </w:rPr>
        <w:t xml:space="preserve"> </w:t>
      </w:r>
      <w:r>
        <w:rPr>
          <w:rFonts w:hint="eastAsia" w:ascii="Arial" w:hAnsi="Arial" w:cs="Arial"/>
          <w:sz w:val="24"/>
          <w:szCs w:val="24"/>
        </w:rPr>
        <w:t>低层、多层住宅结构及砌体承重结构的地基容许变形值或桩基的容许变形值应满足基础中心计算沉降值不应大于150mm，倾斜不应大于0.004的要求。</w:t>
      </w:r>
    </w:p>
    <w:p>
      <w:pPr>
        <w:spacing w:line="360" w:lineRule="auto"/>
        <w:ind w:firstLine="480" w:firstLineChars="200"/>
        <w:rPr>
          <w:rFonts w:ascii="Arial" w:hAnsi="Arial" w:cs="Arial"/>
          <w:sz w:val="24"/>
          <w:szCs w:val="24"/>
        </w:rPr>
      </w:pPr>
      <w:r>
        <w:rPr>
          <w:rFonts w:hint="eastAsia" w:ascii="Arial" w:hAnsi="Arial" w:cs="Arial"/>
          <w:sz w:val="24"/>
          <w:szCs w:val="24"/>
        </w:rPr>
        <w:t>4</w:t>
      </w:r>
      <w:r>
        <w:rPr>
          <w:rFonts w:ascii="Arial" w:hAnsi="Arial" w:cs="Arial"/>
          <w:sz w:val="24"/>
          <w:szCs w:val="24"/>
        </w:rPr>
        <w:t xml:space="preserve"> </w:t>
      </w:r>
      <w:r>
        <w:rPr>
          <w:rFonts w:hint="eastAsia" w:ascii="Arial" w:hAnsi="Arial" w:cs="Arial"/>
          <w:sz w:val="24"/>
          <w:szCs w:val="24"/>
        </w:rPr>
        <w:t>高层住宅桩基的基础中心计算沉降值不应大于150mm。建筑物高度小于100m的高层住宅，其倾斜不应大于0.003；建筑物高度大于等于100m的高层住宅，其倾斜不应大于0.0015；对于沉降要求较高的高层建筑，其基础中心计算沉降值不宜大于100mm、倾斜不宜大于0.001。</w:t>
      </w:r>
    </w:p>
    <w:p>
      <w:pPr>
        <w:spacing w:line="360" w:lineRule="auto"/>
        <w:rPr>
          <w:rFonts w:ascii="Arial" w:hAnsi="Arial" w:eastAsia="黑体" w:cs="Arial"/>
          <w:sz w:val="24"/>
          <w:szCs w:val="24"/>
        </w:rPr>
      </w:pPr>
    </w:p>
    <w:p>
      <w:pPr>
        <w:spacing w:line="360" w:lineRule="auto"/>
        <w:rPr>
          <w:rFonts w:ascii="Arial" w:hAnsi="Arial" w:eastAsia="黑体" w:cs="Arial"/>
          <w:sz w:val="24"/>
          <w:szCs w:val="24"/>
        </w:rPr>
      </w:pPr>
      <w:r>
        <w:rPr>
          <w:rFonts w:ascii="Arial" w:hAnsi="Arial" w:eastAsia="黑体" w:cs="Arial"/>
          <w:sz w:val="24"/>
          <w:szCs w:val="24"/>
        </w:rPr>
        <w:t>《</w:t>
      </w:r>
      <w:r>
        <w:rPr>
          <w:rFonts w:hint="eastAsia" w:ascii="Arial" w:hAnsi="Arial" w:eastAsia="黑体" w:cs="Arial"/>
          <w:sz w:val="24"/>
          <w:szCs w:val="24"/>
        </w:rPr>
        <w:t>混凝土异形柱结构技术规程</w:t>
      </w:r>
      <w:r>
        <w:rPr>
          <w:rFonts w:ascii="Arial" w:hAnsi="Arial" w:eastAsia="黑体" w:cs="Arial"/>
          <w:sz w:val="24"/>
          <w:szCs w:val="24"/>
        </w:rPr>
        <w:t>》</w:t>
      </w:r>
      <w:r>
        <w:rPr>
          <w:rFonts w:hint="eastAsia" w:ascii="Arial" w:hAnsi="Arial" w:eastAsia="黑体" w:cs="Arial"/>
          <w:sz w:val="24"/>
          <w:szCs w:val="24"/>
        </w:rPr>
        <w:t>JGJ149</w:t>
      </w:r>
      <w:r>
        <w:rPr>
          <w:rFonts w:ascii="Arial" w:hAnsi="Arial" w:eastAsia="黑体" w:cs="Arial"/>
          <w:sz w:val="24"/>
          <w:szCs w:val="24"/>
        </w:rPr>
        <w:t>-</w:t>
      </w:r>
      <w:r>
        <w:rPr>
          <w:rFonts w:hint="eastAsia" w:ascii="Arial" w:hAnsi="Arial" w:eastAsia="黑体" w:cs="Arial"/>
          <w:sz w:val="24"/>
          <w:szCs w:val="24"/>
        </w:rPr>
        <w:t>2017</w:t>
      </w:r>
    </w:p>
    <w:p>
      <w:pPr>
        <w:spacing w:line="360" w:lineRule="auto"/>
        <w:rPr>
          <w:rFonts w:ascii="Arial" w:hAnsi="Arial" w:cs="Arial"/>
          <w:sz w:val="24"/>
          <w:szCs w:val="24"/>
        </w:rPr>
      </w:pPr>
      <w:r>
        <w:rPr>
          <w:rFonts w:hint="eastAsia" w:ascii="Arial" w:hAnsi="Arial" w:cs="Arial"/>
          <w:sz w:val="24"/>
          <w:szCs w:val="24"/>
        </w:rPr>
        <w:t>6.2.5</w:t>
      </w:r>
      <w:r>
        <w:rPr>
          <w:rFonts w:ascii="Arial" w:hAnsi="Arial" w:cs="Arial"/>
          <w:sz w:val="24"/>
          <w:szCs w:val="24"/>
        </w:rPr>
        <w:t xml:space="preserve"> </w:t>
      </w:r>
      <w:r>
        <w:rPr>
          <w:rFonts w:hint="eastAsia" w:ascii="Arial" w:hAnsi="Arial" w:cs="Arial"/>
          <w:sz w:val="24"/>
          <w:szCs w:val="24"/>
        </w:rPr>
        <w:t>异形柱中全部纵向受力钢筋的配筋百分率不应小于表6.2.5-1规定的数值，且柱肢肢端纵向受力钢筋的配筋百分率不应小于表6.2.5-2规定的数值。</w:t>
      </w:r>
    </w:p>
    <w:p>
      <w:pPr>
        <w:spacing w:line="360" w:lineRule="auto"/>
        <w:rPr>
          <w:rFonts w:ascii="Arial" w:hAnsi="Arial" w:cs="Arial"/>
          <w:sz w:val="24"/>
          <w:szCs w:val="24"/>
        </w:rPr>
      </w:pPr>
    </w:p>
    <w:p>
      <w:pPr>
        <w:spacing w:line="360" w:lineRule="auto"/>
        <w:jc w:val="left"/>
        <w:rPr>
          <w:rFonts w:ascii="Arial" w:hAnsi="Arial" w:cs="Arial"/>
          <w:sz w:val="24"/>
          <w:szCs w:val="24"/>
        </w:rPr>
      </w:pPr>
      <w:r>
        <w:drawing>
          <wp:inline distT="0" distB="0" distL="114300" distR="114300">
            <wp:extent cx="4665345" cy="949960"/>
            <wp:effectExtent l="0" t="0" r="8255" b="2540"/>
            <wp:docPr id="74"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4" name="图片 10"/>
                    <pic:cNvPicPr>
                      <a:picLocks noChangeAspect="true"/>
                    </pic:cNvPicPr>
                  </pic:nvPicPr>
                  <pic:blipFill>
                    <a:blip r:embed="rId37"/>
                    <a:stretch>
                      <a:fillRect/>
                    </a:stretch>
                  </pic:blipFill>
                  <pic:spPr>
                    <a:xfrm>
                      <a:off x="0" y="0"/>
                      <a:ext cx="4665345" cy="949960"/>
                    </a:xfrm>
                    <a:prstGeom prst="rect">
                      <a:avLst/>
                    </a:prstGeom>
                    <a:noFill/>
                    <a:ln>
                      <a:noFill/>
                    </a:ln>
                  </pic:spPr>
                </pic:pic>
              </a:graphicData>
            </a:graphic>
          </wp:inline>
        </w:drawing>
      </w:r>
    </w:p>
    <w:p>
      <w:pPr>
        <w:pStyle w:val="8"/>
      </w:pPr>
      <w:r>
        <w:drawing>
          <wp:inline distT="0" distB="0" distL="114300" distR="114300">
            <wp:extent cx="4713605" cy="1311910"/>
            <wp:effectExtent l="0" t="0" r="10795" b="8890"/>
            <wp:docPr id="75"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5" name="图片 11"/>
                    <pic:cNvPicPr>
                      <a:picLocks noChangeAspect="true"/>
                    </pic:cNvPicPr>
                  </pic:nvPicPr>
                  <pic:blipFill>
                    <a:blip r:embed="rId38"/>
                    <a:stretch>
                      <a:fillRect/>
                    </a:stretch>
                  </pic:blipFill>
                  <pic:spPr>
                    <a:xfrm>
                      <a:off x="0" y="0"/>
                      <a:ext cx="4713605" cy="1311910"/>
                    </a:xfrm>
                    <a:prstGeom prst="rect">
                      <a:avLst/>
                    </a:prstGeom>
                    <a:noFill/>
                    <a:ln>
                      <a:noFill/>
                    </a:ln>
                  </pic:spPr>
                </pic:pic>
              </a:graphicData>
            </a:graphic>
          </wp:inline>
        </w:drawing>
      </w:r>
    </w:p>
    <w:p>
      <w:pPr>
        <w:pStyle w:val="51"/>
        <w:ind w:left="0" w:leftChars="0"/>
      </w:pPr>
      <w:r>
        <w:drawing>
          <wp:inline distT="0" distB="0" distL="114300" distR="114300">
            <wp:extent cx="4765040" cy="1246505"/>
            <wp:effectExtent l="0" t="0" r="16510" b="10795"/>
            <wp:docPr id="76"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6" name="图片 12"/>
                    <pic:cNvPicPr>
                      <a:picLocks noChangeAspect="true"/>
                    </pic:cNvPicPr>
                  </pic:nvPicPr>
                  <pic:blipFill>
                    <a:blip r:embed="rId39"/>
                    <a:stretch>
                      <a:fillRect/>
                    </a:stretch>
                  </pic:blipFill>
                  <pic:spPr>
                    <a:xfrm>
                      <a:off x="0" y="0"/>
                      <a:ext cx="4765040" cy="1246505"/>
                    </a:xfrm>
                    <a:prstGeom prst="rect">
                      <a:avLst/>
                    </a:prstGeom>
                    <a:noFill/>
                    <a:ln>
                      <a:noFill/>
                    </a:ln>
                  </pic:spPr>
                </pic:pic>
              </a:graphicData>
            </a:graphic>
          </wp:inline>
        </w:drawing>
      </w:r>
    </w:p>
    <w:p>
      <w:pPr>
        <w:spacing w:line="360" w:lineRule="auto"/>
        <w:rPr>
          <w:rFonts w:ascii="Arial" w:hAnsi="Arial" w:cs="Arial"/>
          <w:sz w:val="24"/>
          <w:szCs w:val="24"/>
        </w:rPr>
      </w:pPr>
      <w:r>
        <w:rPr>
          <w:rFonts w:hint="eastAsia" w:ascii="Arial" w:hAnsi="Arial" w:cs="Arial"/>
          <w:sz w:val="24"/>
          <w:szCs w:val="24"/>
        </w:rPr>
        <w:t>6.2.10</w:t>
      </w:r>
      <w:r>
        <w:rPr>
          <w:rFonts w:ascii="Arial" w:hAnsi="Arial" w:cs="Arial"/>
          <w:sz w:val="24"/>
          <w:szCs w:val="24"/>
        </w:rPr>
        <w:t xml:space="preserve"> </w:t>
      </w:r>
      <w:r>
        <w:rPr>
          <w:rFonts w:hint="eastAsia" w:ascii="Arial" w:hAnsi="Arial" w:cs="Arial"/>
          <w:sz w:val="24"/>
          <w:szCs w:val="24"/>
        </w:rPr>
        <w:t>抗震设计时，异形柱箍筋加密区的箍筋最大间距和箍筋最小直径应符合表6.2.10的规定。</w:t>
      </w:r>
    </w:p>
    <w:p>
      <w:pPr>
        <w:spacing w:line="360" w:lineRule="auto"/>
        <w:jc w:val="left"/>
      </w:pPr>
      <w:r>
        <w:drawing>
          <wp:inline distT="0" distB="0" distL="0" distR="0">
            <wp:extent cx="4993005" cy="2202180"/>
            <wp:effectExtent l="0" t="0" r="17145" b="762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40"/>
                    <a:stretch>
                      <a:fillRect/>
                    </a:stretch>
                  </pic:blipFill>
                  <pic:spPr>
                    <a:xfrm>
                      <a:off x="0" y="0"/>
                      <a:ext cx="4993005" cy="2202180"/>
                    </a:xfrm>
                    <a:prstGeom prst="rect">
                      <a:avLst/>
                    </a:prstGeom>
                  </pic:spPr>
                </pic:pic>
              </a:graphicData>
            </a:graphic>
          </wp:inline>
        </w:drawing>
      </w:r>
    </w:p>
    <w:p>
      <w:pPr>
        <w:spacing w:line="360" w:lineRule="auto"/>
        <w:rPr>
          <w:rFonts w:ascii="Arial" w:hAnsi="Arial" w:eastAsia="黑体" w:cs="Arial"/>
          <w:sz w:val="24"/>
          <w:szCs w:val="24"/>
        </w:rPr>
      </w:pPr>
      <w:r>
        <w:rPr>
          <w:rFonts w:ascii="Arial" w:hAnsi="Arial" w:eastAsia="黑体" w:cs="Arial"/>
          <w:sz w:val="24"/>
          <w:szCs w:val="24"/>
        </w:rPr>
        <w:t>《</w:t>
      </w:r>
      <w:r>
        <w:rPr>
          <w:rFonts w:hint="eastAsia" w:ascii="Arial" w:hAnsi="Arial" w:eastAsia="黑体" w:cs="Arial"/>
          <w:sz w:val="24"/>
          <w:szCs w:val="24"/>
        </w:rPr>
        <w:t>高层建筑混凝土结构技术规程</w:t>
      </w:r>
      <w:r>
        <w:rPr>
          <w:rFonts w:ascii="Arial" w:hAnsi="Arial" w:eastAsia="黑体" w:cs="Arial"/>
          <w:sz w:val="24"/>
          <w:szCs w:val="24"/>
        </w:rPr>
        <w:t>》</w:t>
      </w:r>
      <w:r>
        <w:rPr>
          <w:rFonts w:hint="eastAsia" w:ascii="Arial" w:hAnsi="Arial" w:eastAsia="黑体" w:cs="Arial"/>
          <w:sz w:val="24"/>
          <w:szCs w:val="24"/>
        </w:rPr>
        <w:t>JGJ3</w:t>
      </w:r>
      <w:r>
        <w:rPr>
          <w:rFonts w:ascii="Arial" w:hAnsi="Arial" w:eastAsia="黑体" w:cs="Arial"/>
          <w:sz w:val="24"/>
          <w:szCs w:val="24"/>
        </w:rPr>
        <w:t>-</w:t>
      </w:r>
      <w:r>
        <w:rPr>
          <w:rFonts w:hint="eastAsia" w:ascii="Arial" w:hAnsi="Arial" w:eastAsia="黑体" w:cs="Arial"/>
          <w:sz w:val="24"/>
          <w:szCs w:val="24"/>
        </w:rPr>
        <w:t>2010</w:t>
      </w:r>
    </w:p>
    <w:p>
      <w:pPr>
        <w:spacing w:line="360" w:lineRule="auto"/>
        <w:rPr>
          <w:rFonts w:ascii="Arial" w:hAnsi="Arial" w:cs="Arial"/>
          <w:sz w:val="24"/>
          <w:szCs w:val="24"/>
        </w:rPr>
      </w:pPr>
      <w:r>
        <w:rPr>
          <w:rFonts w:hint="eastAsia" w:ascii="Arial" w:hAnsi="Arial" w:cs="Arial"/>
          <w:sz w:val="24"/>
          <w:szCs w:val="24"/>
        </w:rPr>
        <w:t>9.2.3</w:t>
      </w:r>
      <w:r>
        <w:rPr>
          <w:rFonts w:ascii="Arial" w:hAnsi="Arial" w:cs="Arial"/>
          <w:sz w:val="24"/>
          <w:szCs w:val="24"/>
        </w:rPr>
        <w:t xml:space="preserve"> </w:t>
      </w:r>
      <w:r>
        <w:rPr>
          <w:rFonts w:hint="eastAsia" w:ascii="Arial" w:hAnsi="Arial" w:cs="Arial"/>
          <w:sz w:val="24"/>
          <w:szCs w:val="24"/>
        </w:rPr>
        <w:t>框架-核心筒结构的周边柱间必须设置框架梁。</w:t>
      </w:r>
    </w:p>
    <w:p>
      <w:pPr>
        <w:spacing w:line="360" w:lineRule="auto"/>
        <w:rPr>
          <w:rFonts w:ascii="Arial" w:hAnsi="Arial" w:eastAsia="黑体" w:cs="Arial"/>
          <w:sz w:val="24"/>
          <w:szCs w:val="24"/>
        </w:rPr>
      </w:pPr>
    </w:p>
    <w:p>
      <w:pPr>
        <w:spacing w:line="360" w:lineRule="auto"/>
        <w:rPr>
          <w:rFonts w:ascii="Arial" w:hAnsi="Arial" w:eastAsia="黑体" w:cs="Arial"/>
          <w:sz w:val="24"/>
          <w:szCs w:val="24"/>
        </w:rPr>
      </w:pPr>
      <w:r>
        <w:rPr>
          <w:rFonts w:ascii="Arial" w:hAnsi="Arial" w:eastAsia="黑体" w:cs="Arial"/>
          <w:sz w:val="24"/>
          <w:szCs w:val="24"/>
        </w:rPr>
        <w:t>《</w:t>
      </w:r>
      <w:r>
        <w:rPr>
          <w:rFonts w:hint="eastAsia" w:ascii="Arial" w:hAnsi="Arial" w:eastAsia="黑体" w:cs="Arial"/>
          <w:sz w:val="24"/>
          <w:szCs w:val="24"/>
        </w:rPr>
        <w:t>空间格构结构技术标准</w:t>
      </w:r>
      <w:r>
        <w:rPr>
          <w:rFonts w:ascii="Arial" w:hAnsi="Arial" w:eastAsia="黑体" w:cs="Arial"/>
          <w:sz w:val="24"/>
          <w:szCs w:val="24"/>
        </w:rPr>
        <w:t>》</w:t>
      </w:r>
      <w:r>
        <w:rPr>
          <w:rFonts w:hint="eastAsia" w:ascii="Arial" w:hAnsi="Arial" w:eastAsia="黑体" w:cs="Arial"/>
          <w:sz w:val="24"/>
          <w:szCs w:val="24"/>
        </w:rPr>
        <w:t>DG/TJ08-52</w:t>
      </w:r>
      <w:r>
        <w:rPr>
          <w:rFonts w:ascii="Arial" w:hAnsi="Arial" w:eastAsia="黑体" w:cs="Arial"/>
          <w:sz w:val="24"/>
          <w:szCs w:val="24"/>
        </w:rPr>
        <w:t>-</w:t>
      </w:r>
      <w:r>
        <w:rPr>
          <w:rFonts w:hint="eastAsia" w:ascii="Arial" w:hAnsi="Arial" w:eastAsia="黑体" w:cs="Arial"/>
          <w:sz w:val="24"/>
          <w:szCs w:val="24"/>
        </w:rPr>
        <w:t>2020</w:t>
      </w:r>
    </w:p>
    <w:p>
      <w:pPr>
        <w:spacing w:line="360" w:lineRule="auto"/>
        <w:rPr>
          <w:rFonts w:ascii="Arial" w:hAnsi="Arial" w:cs="Arial"/>
          <w:sz w:val="24"/>
          <w:szCs w:val="24"/>
        </w:rPr>
      </w:pPr>
      <w:r>
        <w:rPr>
          <w:rFonts w:hint="eastAsia" w:ascii="Arial" w:hAnsi="Arial" w:cs="Arial"/>
          <w:sz w:val="24"/>
          <w:szCs w:val="24"/>
        </w:rPr>
        <w:t>3.1.6</w:t>
      </w:r>
      <w:r>
        <w:rPr>
          <w:rFonts w:ascii="Arial" w:hAnsi="Arial" w:cs="Arial"/>
          <w:sz w:val="24"/>
          <w:szCs w:val="24"/>
        </w:rPr>
        <w:t xml:space="preserve"> </w:t>
      </w:r>
      <w:r>
        <w:rPr>
          <w:rFonts w:hint="eastAsia" w:ascii="Arial" w:hAnsi="Arial" w:cs="Arial"/>
          <w:sz w:val="24"/>
          <w:szCs w:val="24"/>
        </w:rPr>
        <w:t>单层网壳结构应采用刚性节点。</w:t>
      </w:r>
    </w:p>
    <w:p>
      <w:pPr>
        <w:spacing w:line="360" w:lineRule="auto"/>
        <w:rPr>
          <w:rFonts w:ascii="Arial" w:hAnsi="Arial" w:eastAsia="黑体" w:cs="Arial"/>
          <w:sz w:val="24"/>
          <w:szCs w:val="24"/>
        </w:rPr>
      </w:pPr>
    </w:p>
    <w:p>
      <w:pPr>
        <w:spacing w:line="360" w:lineRule="auto"/>
        <w:rPr>
          <w:rFonts w:ascii="Arial" w:hAnsi="Arial" w:eastAsia="黑体" w:cs="Arial"/>
          <w:sz w:val="24"/>
          <w:szCs w:val="24"/>
        </w:rPr>
      </w:pPr>
      <w:r>
        <w:rPr>
          <w:rFonts w:ascii="Arial" w:hAnsi="Arial" w:eastAsia="黑体" w:cs="Arial"/>
          <w:sz w:val="24"/>
          <w:szCs w:val="24"/>
        </w:rPr>
        <w:t>《</w:t>
      </w:r>
      <w:r>
        <w:rPr>
          <w:rFonts w:hint="eastAsia" w:ascii="Arial" w:hAnsi="Arial" w:eastAsia="黑体" w:cs="Arial"/>
          <w:sz w:val="24"/>
          <w:szCs w:val="24"/>
        </w:rPr>
        <w:t>现有建筑抗震鉴定与加固标准</w:t>
      </w:r>
      <w:r>
        <w:rPr>
          <w:rFonts w:ascii="Arial" w:hAnsi="Arial" w:eastAsia="黑体" w:cs="Arial"/>
          <w:sz w:val="24"/>
          <w:szCs w:val="24"/>
        </w:rPr>
        <w:t>》</w:t>
      </w:r>
      <w:r>
        <w:rPr>
          <w:rFonts w:hint="eastAsia" w:ascii="Arial" w:hAnsi="Arial" w:eastAsia="黑体" w:cs="Arial"/>
          <w:sz w:val="24"/>
          <w:szCs w:val="24"/>
        </w:rPr>
        <w:t>DGJ 08-81</w:t>
      </w:r>
      <w:r>
        <w:rPr>
          <w:rFonts w:ascii="Arial" w:hAnsi="Arial" w:eastAsia="黑体" w:cs="Arial"/>
          <w:sz w:val="24"/>
          <w:szCs w:val="24"/>
        </w:rPr>
        <w:t>-</w:t>
      </w:r>
      <w:r>
        <w:rPr>
          <w:rFonts w:hint="eastAsia" w:ascii="Arial" w:hAnsi="Arial" w:eastAsia="黑体" w:cs="Arial"/>
          <w:sz w:val="24"/>
          <w:szCs w:val="24"/>
        </w:rPr>
        <w:t>2021</w:t>
      </w:r>
    </w:p>
    <w:p>
      <w:pPr>
        <w:spacing w:line="360" w:lineRule="auto"/>
        <w:rPr>
          <w:rFonts w:ascii="Arial" w:hAnsi="Arial" w:cs="Arial"/>
          <w:sz w:val="24"/>
          <w:szCs w:val="24"/>
        </w:rPr>
      </w:pPr>
      <w:r>
        <w:rPr>
          <w:rFonts w:hint="eastAsia" w:ascii="Arial" w:hAnsi="Arial" w:cs="Arial"/>
          <w:sz w:val="24"/>
          <w:szCs w:val="24"/>
        </w:rPr>
        <w:t>16.3.7</w:t>
      </w:r>
      <w:r>
        <w:rPr>
          <w:rFonts w:ascii="Arial" w:hAnsi="Arial" w:cs="Arial"/>
          <w:sz w:val="24"/>
          <w:szCs w:val="24"/>
        </w:rPr>
        <w:t xml:space="preserve"> </w:t>
      </w:r>
      <w:r>
        <w:rPr>
          <w:rFonts w:hint="eastAsia" w:ascii="Arial" w:hAnsi="Arial" w:cs="Arial"/>
          <w:sz w:val="24"/>
          <w:szCs w:val="24"/>
        </w:rPr>
        <w:t>采用外加钢筋混凝土面层加固墙体时，应符合下列要求：</w:t>
      </w:r>
    </w:p>
    <w:p>
      <w:pPr>
        <w:spacing w:line="360" w:lineRule="auto"/>
        <w:ind w:firstLine="480" w:firstLineChars="200"/>
        <w:rPr>
          <w:rFonts w:ascii="Arial" w:hAnsi="Arial" w:cs="Arial"/>
          <w:sz w:val="24"/>
          <w:szCs w:val="24"/>
        </w:rPr>
      </w:pPr>
      <w:r>
        <w:rPr>
          <w:rFonts w:hint="eastAsia" w:ascii="Arial" w:hAnsi="Arial" w:cs="Arial"/>
          <w:sz w:val="24"/>
          <w:szCs w:val="24"/>
        </w:rPr>
        <w:t>1 外加钢筋混凝土面层应采用呈梅花状布置的锚筋、穿墙筋与原有砌体墙连接；其左右应采用拉结筋等与两端的原有墙体可靠连接；底部应有基础；外加钢筋混凝土面层上下应与楼、屋盖可靠连接，至少应每隔800mm设置穿过楼板且竖向钢筋等面积的短筋，短筋两端应分别锚入上下层的钢筋混凝土面层内，其锚固长度不应小于短筋直径的40倍。</w:t>
      </w:r>
    </w:p>
    <w:p>
      <w:pPr>
        <w:spacing w:line="360" w:lineRule="auto"/>
        <w:ind w:firstLine="480" w:firstLineChars="200"/>
        <w:rPr>
          <w:rFonts w:ascii="Arial" w:hAnsi="Arial" w:cs="Arial"/>
          <w:sz w:val="24"/>
          <w:szCs w:val="24"/>
        </w:rPr>
      </w:pPr>
      <w:r>
        <w:rPr>
          <w:rFonts w:hint="eastAsia" w:ascii="Arial" w:hAnsi="Arial" w:cs="Arial"/>
          <w:sz w:val="24"/>
          <w:szCs w:val="24"/>
        </w:rPr>
        <w:t>2</w:t>
      </w:r>
      <w:r>
        <w:rPr>
          <w:rFonts w:ascii="Arial" w:hAnsi="Arial" w:cs="Arial"/>
          <w:sz w:val="24"/>
          <w:szCs w:val="24"/>
        </w:rPr>
        <w:t xml:space="preserve"> </w:t>
      </w:r>
      <w:r>
        <w:rPr>
          <w:rFonts w:hint="eastAsia" w:ascii="Arial" w:hAnsi="Arial" w:cs="Arial"/>
          <w:sz w:val="24"/>
          <w:szCs w:val="24"/>
        </w:rPr>
        <w:t>外加钢筋混凝土面层加固采用现行上海市工程建设规范《建筑抗震设计标准》DGJ08-9验算并考虑抗震措施影响时，有关构件支撑长度的影响系数应作相应改变，有关墙体局部尺寸的影响系数应取1.0。</w:t>
      </w:r>
    </w:p>
    <w:p>
      <w:pPr>
        <w:spacing w:line="360" w:lineRule="auto"/>
        <w:rPr>
          <w:rFonts w:ascii="Arial" w:hAnsi="Arial" w:cs="Arial"/>
          <w:sz w:val="24"/>
          <w:szCs w:val="24"/>
        </w:rPr>
      </w:pPr>
      <w:r>
        <w:rPr>
          <w:rFonts w:hint="eastAsia" w:ascii="Arial" w:hAnsi="Arial" w:cs="Arial"/>
          <w:sz w:val="24"/>
          <w:szCs w:val="24"/>
        </w:rPr>
        <w:t>17.3.1</w:t>
      </w:r>
      <w:r>
        <w:rPr>
          <w:rFonts w:ascii="Arial" w:hAnsi="Arial" w:cs="Arial"/>
          <w:sz w:val="24"/>
          <w:szCs w:val="24"/>
        </w:rPr>
        <w:t xml:space="preserve"> </w:t>
      </w:r>
      <w:r>
        <w:rPr>
          <w:rFonts w:hint="eastAsia" w:ascii="Arial" w:hAnsi="Arial" w:cs="Arial"/>
          <w:sz w:val="24"/>
          <w:szCs w:val="24"/>
        </w:rPr>
        <w:t>增设钢筋混凝土抗震墙或翼墙加固房屋时，应符合下列要求：</w:t>
      </w:r>
    </w:p>
    <w:p>
      <w:pPr>
        <w:spacing w:line="360" w:lineRule="auto"/>
        <w:ind w:firstLine="480" w:firstLineChars="200"/>
        <w:rPr>
          <w:rFonts w:ascii="Arial" w:hAnsi="Arial" w:cs="Arial"/>
          <w:sz w:val="24"/>
          <w:szCs w:val="24"/>
        </w:rPr>
      </w:pPr>
      <w:r>
        <w:rPr>
          <w:rFonts w:hint="eastAsia" w:ascii="Arial" w:hAnsi="Arial" w:cs="Arial"/>
          <w:sz w:val="24"/>
          <w:szCs w:val="24"/>
        </w:rPr>
        <w:t>2</w:t>
      </w:r>
      <w:r>
        <w:rPr>
          <w:rFonts w:ascii="Arial" w:hAnsi="Arial" w:cs="Arial"/>
          <w:sz w:val="24"/>
          <w:szCs w:val="24"/>
        </w:rPr>
        <w:t xml:space="preserve"> </w:t>
      </w:r>
      <w:r>
        <w:rPr>
          <w:rFonts w:hint="eastAsia" w:ascii="Arial" w:hAnsi="Arial" w:cs="Arial"/>
          <w:sz w:val="24"/>
          <w:szCs w:val="24"/>
        </w:rPr>
        <w:t>墙厚不应小于140mm，竖向和横向分布钢筋的最小配筋率均不应小于0.20%。对于B、C类钢筋混凝土房屋，其墙厚和配筋应符合其抗震等级的相应要求。</w:t>
      </w:r>
    </w:p>
    <w:p>
      <w:pPr>
        <w:spacing w:line="360" w:lineRule="auto"/>
        <w:ind w:firstLine="480" w:firstLineChars="200"/>
        <w:rPr>
          <w:rFonts w:ascii="Arial" w:hAnsi="Arial" w:cs="Arial"/>
          <w:sz w:val="24"/>
          <w:szCs w:val="24"/>
        </w:rPr>
      </w:pPr>
      <w:r>
        <w:rPr>
          <w:rFonts w:hint="eastAsia" w:ascii="Arial" w:hAnsi="Arial" w:cs="Arial"/>
          <w:sz w:val="24"/>
          <w:szCs w:val="24"/>
        </w:rPr>
        <w:t>3</w:t>
      </w:r>
      <w:r>
        <w:rPr>
          <w:rFonts w:ascii="Arial" w:hAnsi="Arial" w:cs="Arial"/>
          <w:sz w:val="24"/>
          <w:szCs w:val="24"/>
        </w:rPr>
        <w:t xml:space="preserve"> </w:t>
      </w:r>
      <w:r>
        <w:rPr>
          <w:rFonts w:hint="eastAsia" w:ascii="Arial" w:hAnsi="Arial" w:cs="Arial"/>
          <w:sz w:val="24"/>
          <w:szCs w:val="24"/>
        </w:rPr>
        <w:t>增设抗震墙后可按框架-抗震墙结构或少墙框架结构进行抗震分析，增设的混凝土和钢筋的强度均应乘以规定的折减系数。加固后抗震墙之间楼、屋盖长宽比的局部影响系数应作相应改变。</w:t>
      </w:r>
    </w:p>
    <w:p>
      <w:pPr>
        <w:spacing w:line="360" w:lineRule="auto"/>
        <w:rPr>
          <w:rFonts w:ascii="Arial" w:hAnsi="Arial" w:cs="Arial"/>
          <w:sz w:val="24"/>
          <w:szCs w:val="24"/>
        </w:rPr>
      </w:pPr>
      <w:r>
        <w:rPr>
          <w:rFonts w:hint="eastAsia" w:ascii="Arial" w:hAnsi="Arial" w:cs="Arial"/>
          <w:sz w:val="24"/>
          <w:szCs w:val="24"/>
        </w:rPr>
        <w:t>17.3.7</w:t>
      </w:r>
      <w:r>
        <w:rPr>
          <w:rFonts w:ascii="Arial" w:hAnsi="Arial" w:cs="Arial"/>
          <w:sz w:val="24"/>
          <w:szCs w:val="24"/>
        </w:rPr>
        <w:t xml:space="preserve"> </w:t>
      </w:r>
      <w:r>
        <w:rPr>
          <w:rFonts w:hint="eastAsia" w:ascii="Arial" w:hAnsi="Arial" w:cs="Arial"/>
          <w:sz w:val="24"/>
          <w:szCs w:val="24"/>
        </w:rPr>
        <w:t>采用钢筋混凝土套加固梁柱时，应符合下列要求：</w:t>
      </w:r>
    </w:p>
    <w:p>
      <w:pPr>
        <w:spacing w:line="360" w:lineRule="auto"/>
        <w:ind w:firstLine="480" w:firstLineChars="200"/>
        <w:rPr>
          <w:rFonts w:ascii="Arial" w:hAnsi="Arial" w:cs="Arial"/>
          <w:sz w:val="24"/>
          <w:szCs w:val="24"/>
        </w:rPr>
      </w:pPr>
      <w:r>
        <w:rPr>
          <w:rFonts w:hint="eastAsia" w:ascii="Arial" w:hAnsi="Arial" w:cs="Arial"/>
          <w:sz w:val="24"/>
          <w:szCs w:val="24"/>
        </w:rPr>
        <w:t>2</w:t>
      </w:r>
      <w:r>
        <w:rPr>
          <w:rFonts w:ascii="Arial" w:hAnsi="Arial" w:cs="Arial"/>
          <w:sz w:val="24"/>
          <w:szCs w:val="24"/>
        </w:rPr>
        <w:t xml:space="preserve"> </w:t>
      </w:r>
      <w:r>
        <w:rPr>
          <w:rFonts w:hint="eastAsia" w:ascii="Arial" w:hAnsi="Arial" w:cs="Arial"/>
          <w:sz w:val="24"/>
          <w:szCs w:val="24"/>
        </w:rPr>
        <w:t>柱套的纵向钢筋遇到楼板时，应凿洞穿过并上下连接，其根部应伸入基础并满足锚固要求，其顶部应在屋面板处封顶锚固；梁套的纵向钢筋应与柱可靠连接。</w:t>
      </w:r>
    </w:p>
    <w:p>
      <w:pPr>
        <w:spacing w:line="360" w:lineRule="auto"/>
        <w:ind w:firstLine="480" w:firstLineChars="200"/>
        <w:rPr>
          <w:rFonts w:ascii="Arial" w:hAnsi="Arial" w:cs="Arial"/>
          <w:sz w:val="24"/>
          <w:szCs w:val="24"/>
        </w:rPr>
      </w:pPr>
      <w:r>
        <w:rPr>
          <w:rFonts w:hint="eastAsia" w:ascii="Arial" w:hAnsi="Arial" w:cs="Arial"/>
          <w:sz w:val="24"/>
          <w:szCs w:val="24"/>
        </w:rPr>
        <w:t>3</w:t>
      </w:r>
      <w:r>
        <w:rPr>
          <w:rFonts w:ascii="Arial" w:hAnsi="Arial" w:cs="Arial"/>
          <w:sz w:val="24"/>
          <w:szCs w:val="24"/>
        </w:rPr>
        <w:t xml:space="preserve"> </w:t>
      </w:r>
      <w:r>
        <w:rPr>
          <w:rFonts w:hint="eastAsia" w:ascii="Arial" w:hAnsi="Arial" w:cs="Arial"/>
          <w:sz w:val="24"/>
          <w:szCs w:val="24"/>
        </w:rPr>
        <w:t>加固后梁、柱按整体截面进行抗震验算，新增的混凝土和钢筋的材料强度应乘以规定的折减系数。</w:t>
      </w:r>
    </w:p>
    <w:p>
      <w:pPr>
        <w:spacing w:line="360" w:lineRule="auto"/>
        <w:rPr>
          <w:rFonts w:ascii="Arial" w:hAnsi="Arial" w:eastAsia="黑体" w:cs="Arial"/>
          <w:sz w:val="24"/>
          <w:szCs w:val="24"/>
        </w:rPr>
      </w:pPr>
    </w:p>
    <w:p>
      <w:pPr>
        <w:spacing w:line="360" w:lineRule="auto"/>
        <w:rPr>
          <w:rFonts w:ascii="Arial" w:hAnsi="Arial" w:eastAsia="黑体" w:cs="Arial"/>
          <w:sz w:val="24"/>
          <w:szCs w:val="24"/>
        </w:rPr>
      </w:pPr>
      <w:r>
        <w:rPr>
          <w:rFonts w:ascii="Arial" w:hAnsi="Arial" w:eastAsia="黑体" w:cs="Arial"/>
          <w:sz w:val="24"/>
          <w:szCs w:val="24"/>
        </w:rPr>
        <w:t>《</w:t>
      </w:r>
      <w:r>
        <w:rPr>
          <w:rFonts w:hint="eastAsia" w:ascii="Arial" w:hAnsi="Arial" w:eastAsia="黑体" w:cs="Arial"/>
          <w:sz w:val="24"/>
          <w:szCs w:val="24"/>
        </w:rPr>
        <w:t>工程结构加固材料安全性鉴定技术规范</w:t>
      </w:r>
      <w:r>
        <w:rPr>
          <w:rFonts w:ascii="Arial" w:hAnsi="Arial" w:eastAsia="黑体" w:cs="Arial"/>
          <w:sz w:val="24"/>
          <w:szCs w:val="24"/>
        </w:rPr>
        <w:t>》</w:t>
      </w:r>
      <w:r>
        <w:rPr>
          <w:rFonts w:hint="eastAsia" w:ascii="Arial" w:hAnsi="Arial" w:eastAsia="黑体" w:cs="Arial"/>
          <w:sz w:val="24"/>
          <w:szCs w:val="24"/>
        </w:rPr>
        <w:t>GB50728-2011</w:t>
      </w:r>
    </w:p>
    <w:p>
      <w:pPr>
        <w:spacing w:line="360" w:lineRule="auto"/>
        <w:rPr>
          <w:rFonts w:ascii="Arial" w:hAnsi="Arial" w:cs="Arial"/>
          <w:sz w:val="24"/>
          <w:szCs w:val="24"/>
        </w:rPr>
      </w:pPr>
      <w:r>
        <w:rPr>
          <w:rFonts w:hint="eastAsia" w:ascii="Arial" w:hAnsi="Arial" w:cs="Arial"/>
          <w:sz w:val="24"/>
          <w:szCs w:val="24"/>
        </w:rPr>
        <w:t>8.2.1</w:t>
      </w:r>
      <w:r>
        <w:rPr>
          <w:rFonts w:ascii="Arial" w:hAnsi="Arial" w:cs="Arial"/>
          <w:sz w:val="24"/>
          <w:szCs w:val="24"/>
        </w:rPr>
        <w:t xml:space="preserve"> </w:t>
      </w:r>
      <w:r>
        <w:rPr>
          <w:rFonts w:hint="eastAsia" w:ascii="Arial" w:hAnsi="Arial" w:cs="Arial"/>
          <w:sz w:val="24"/>
          <w:szCs w:val="24"/>
        </w:rPr>
        <w:t>承重结构加固用的碳纤维，其材料品种和规格必须符合下列规定：</w:t>
      </w:r>
    </w:p>
    <w:p>
      <w:pPr>
        <w:spacing w:line="360" w:lineRule="auto"/>
        <w:ind w:firstLine="420" w:firstLineChars="175"/>
        <w:rPr>
          <w:rFonts w:ascii="Arial" w:hAnsi="Arial" w:cs="Arial"/>
          <w:sz w:val="24"/>
          <w:szCs w:val="24"/>
        </w:rPr>
      </w:pPr>
      <w:r>
        <w:rPr>
          <w:rFonts w:hint="eastAsia" w:ascii="Arial" w:hAnsi="Arial" w:cs="Arial"/>
          <w:sz w:val="24"/>
          <w:szCs w:val="24"/>
        </w:rPr>
        <w:t>1</w:t>
      </w:r>
      <w:r>
        <w:rPr>
          <w:rFonts w:ascii="Arial" w:hAnsi="Arial" w:cs="Arial"/>
          <w:sz w:val="24"/>
          <w:szCs w:val="24"/>
        </w:rPr>
        <w:t xml:space="preserve"> </w:t>
      </w:r>
      <w:r>
        <w:rPr>
          <w:rFonts w:hint="eastAsia" w:ascii="Arial" w:hAnsi="Arial" w:cs="Arial"/>
          <w:sz w:val="24"/>
          <w:szCs w:val="24"/>
        </w:rPr>
        <w:t>对重要结构，必须选用聚丙烯腈基（PAN基）12k或12k以下的小丝束纤维，严禁使用大丝束纤维；</w:t>
      </w:r>
    </w:p>
    <w:p>
      <w:pPr>
        <w:spacing w:line="360" w:lineRule="auto"/>
        <w:ind w:firstLine="420" w:firstLineChars="175"/>
        <w:rPr>
          <w:rFonts w:ascii="Arial" w:hAnsi="Arial" w:cs="Arial"/>
          <w:sz w:val="24"/>
          <w:szCs w:val="24"/>
        </w:rPr>
      </w:pPr>
      <w:r>
        <w:rPr>
          <w:rFonts w:hint="eastAsia" w:ascii="Arial" w:hAnsi="Arial" w:cs="Arial"/>
          <w:sz w:val="24"/>
          <w:szCs w:val="24"/>
        </w:rPr>
        <w:t>2</w:t>
      </w:r>
      <w:r>
        <w:rPr>
          <w:rFonts w:ascii="Arial" w:hAnsi="Arial" w:cs="Arial"/>
          <w:sz w:val="24"/>
          <w:szCs w:val="24"/>
        </w:rPr>
        <w:t xml:space="preserve"> </w:t>
      </w:r>
      <w:r>
        <w:rPr>
          <w:rFonts w:hint="eastAsia" w:ascii="Arial" w:hAnsi="Arial" w:cs="Arial"/>
          <w:sz w:val="24"/>
          <w:szCs w:val="24"/>
        </w:rPr>
        <w:t>对一般结构，除使用聚丙烯腈基12k或12k以下的小丝束纤维外，若有适配的结构胶，尚允许使用不大于15k的聚丙烯腈基碳纤维。</w:t>
      </w:r>
    </w:p>
    <w:p>
      <w:pPr>
        <w:spacing w:line="360" w:lineRule="auto"/>
        <w:ind w:firstLine="420" w:firstLineChars="175"/>
        <w:rPr>
          <w:rFonts w:ascii="Arial" w:hAnsi="Arial" w:cs="Arial"/>
          <w:sz w:val="24"/>
          <w:szCs w:val="24"/>
        </w:rPr>
      </w:pPr>
    </w:p>
    <w:p>
      <w:pPr>
        <w:spacing w:line="360" w:lineRule="auto"/>
        <w:rPr>
          <w:rFonts w:ascii="Arial" w:hAnsi="Arial" w:eastAsia="黑体" w:cs="Arial"/>
          <w:sz w:val="24"/>
          <w:szCs w:val="24"/>
        </w:rPr>
      </w:pPr>
      <w:r>
        <w:rPr>
          <w:rFonts w:hint="eastAsia" w:ascii="Arial" w:hAnsi="Arial" w:eastAsia="黑体" w:cs="Arial"/>
          <w:sz w:val="24"/>
          <w:szCs w:val="24"/>
        </w:rPr>
        <w:t>《保障性租赁住房设计标准（保障性租赁住房新建分册）》DG/TJ08-2291B-2022</w:t>
      </w:r>
    </w:p>
    <w:p>
      <w:pPr>
        <w:pStyle w:val="80"/>
      </w:pPr>
      <w:r>
        <w:rPr>
          <w:rFonts w:hint="eastAsia" w:ascii="Arial" w:hAnsi="Arial" w:cs="Arial"/>
          <w:szCs w:val="24"/>
        </w:rPr>
        <w:t>7.0.9</w:t>
      </w:r>
      <w:r>
        <w:t xml:space="preserve"> </w:t>
      </w:r>
      <w:r>
        <w:rPr>
          <w:rFonts w:hint="eastAsia"/>
        </w:rPr>
        <w:t>钢楼梯或预制混凝土楼梯应采用通用部件。</w:t>
      </w:r>
    </w:p>
    <w:p>
      <w:pPr>
        <w:spacing w:line="360" w:lineRule="auto"/>
        <w:ind w:firstLine="420" w:firstLineChars="175"/>
        <w:rPr>
          <w:rFonts w:ascii="Arial" w:hAnsi="Arial" w:cs="Arial"/>
          <w:sz w:val="24"/>
          <w:szCs w:val="24"/>
        </w:rPr>
      </w:pPr>
    </w:p>
    <w:p>
      <w:pPr>
        <w:spacing w:line="360" w:lineRule="auto"/>
        <w:rPr>
          <w:rFonts w:ascii="Arial" w:hAnsi="Arial" w:cs="Arial"/>
          <w:sz w:val="24"/>
          <w:szCs w:val="24"/>
        </w:rPr>
      </w:pPr>
      <w:r>
        <w:rPr>
          <w:rFonts w:hint="eastAsia" w:ascii="Arial" w:hAnsi="Arial" w:eastAsia="黑体" w:cs="Arial"/>
          <w:sz w:val="24"/>
          <w:szCs w:val="24"/>
        </w:rPr>
        <w:t>《保障性租赁住房设计标准（保障性租赁住房改建分册）》DG/TJ08-2291C-2022</w:t>
      </w:r>
    </w:p>
    <w:p>
      <w:pPr>
        <w:pStyle w:val="80"/>
      </w:pPr>
      <w:r>
        <w:rPr>
          <w:rFonts w:hint="eastAsia" w:ascii="Arial" w:hAnsi="Arial" w:cs="Arial"/>
          <w:szCs w:val="24"/>
        </w:rPr>
        <w:t>7.0.2</w:t>
      </w:r>
      <w:r>
        <w:rPr>
          <w:rFonts w:hint="eastAsia"/>
        </w:rPr>
        <w:t xml:space="preserve"> 非居住存量房屋改建为宿舍型租赁住房前，应按国家和本市现行有关标准进行房屋检测鉴定。</w:t>
      </w:r>
    </w:p>
    <w:p>
      <w:pPr>
        <w:pStyle w:val="80"/>
      </w:pPr>
      <w:r>
        <w:rPr>
          <w:rFonts w:hint="eastAsia" w:ascii="Arial" w:hAnsi="Arial" w:cs="Arial"/>
          <w:szCs w:val="24"/>
        </w:rPr>
        <w:t>7.0.3</w:t>
      </w:r>
      <w:r>
        <w:rPr>
          <w:rFonts w:hint="eastAsia"/>
        </w:rPr>
        <w:t xml:space="preserve"> 非居住存量房屋改建前经房屋检测鉴定或设计确认需要加固时，应依据鉴定结论对结构或构件进行加固设计。</w:t>
      </w:r>
    </w:p>
    <w:p>
      <w:pPr>
        <w:spacing w:line="360" w:lineRule="auto"/>
        <w:ind w:firstLine="420" w:firstLineChars="175"/>
        <w:rPr>
          <w:rFonts w:ascii="Arial" w:hAnsi="Arial" w:cs="Arial"/>
          <w:sz w:val="24"/>
          <w:szCs w:val="24"/>
        </w:rPr>
      </w:pPr>
    </w:p>
    <w:p>
      <w:pPr>
        <w:spacing w:line="360" w:lineRule="auto"/>
        <w:ind w:firstLine="420" w:firstLineChars="175"/>
        <w:rPr>
          <w:rFonts w:ascii="Arial" w:hAnsi="Arial" w:cs="Arial"/>
          <w:sz w:val="24"/>
          <w:szCs w:val="24"/>
        </w:rPr>
      </w:pPr>
    </w:p>
    <w:p>
      <w:pPr>
        <w:spacing w:line="360" w:lineRule="auto"/>
        <w:ind w:firstLine="420" w:firstLineChars="175"/>
        <w:rPr>
          <w:rFonts w:ascii="Arial" w:hAnsi="Arial" w:cs="Arial"/>
          <w:sz w:val="24"/>
          <w:szCs w:val="24"/>
        </w:rPr>
      </w:pPr>
    </w:p>
    <w:p>
      <w:pPr>
        <w:pStyle w:val="3"/>
        <w:numPr>
          <w:ilvl w:val="0"/>
          <w:numId w:val="0"/>
        </w:numPr>
        <w:spacing w:beforeLines="0"/>
        <w:rPr>
          <w:rFonts w:ascii="Arial" w:hAnsi="Arial" w:cs="Arial"/>
        </w:rPr>
      </w:pPr>
      <w:bookmarkStart w:id="32" w:name="_Toc488139929"/>
      <w:bookmarkStart w:id="33" w:name="_Toc405369264"/>
      <w:bookmarkStart w:id="34" w:name="_Toc500329032"/>
      <w:bookmarkStart w:id="35" w:name="_Toc118119909"/>
      <w:r>
        <w:rPr>
          <w:rFonts w:ascii="Arial" w:hAnsi="Arial" w:cs="Arial"/>
        </w:rPr>
        <w:t>2.3 抗震设计</w:t>
      </w:r>
      <w:bookmarkEnd w:id="32"/>
      <w:bookmarkEnd w:id="33"/>
      <w:bookmarkEnd w:id="34"/>
      <w:bookmarkEnd w:id="35"/>
    </w:p>
    <w:p>
      <w:pPr>
        <w:spacing w:line="360" w:lineRule="auto"/>
        <w:rPr>
          <w:rFonts w:ascii="Arial" w:hAnsi="Arial" w:eastAsia="黑体" w:cs="Arial"/>
          <w:sz w:val="24"/>
          <w:szCs w:val="24"/>
        </w:rPr>
      </w:pPr>
      <w:r>
        <w:rPr>
          <w:rFonts w:ascii="Arial" w:hAnsi="Arial" w:eastAsia="黑体" w:cs="Arial"/>
          <w:sz w:val="24"/>
          <w:szCs w:val="24"/>
        </w:rPr>
        <w:t>《建筑抗震设计规程》DGJ08-9-2013</w:t>
      </w:r>
    </w:p>
    <w:p>
      <w:pPr>
        <w:spacing w:line="360" w:lineRule="auto"/>
        <w:rPr>
          <w:rFonts w:ascii="Arial" w:hAnsi="Arial" w:cs="Arial"/>
          <w:sz w:val="24"/>
          <w:szCs w:val="24"/>
        </w:rPr>
      </w:pPr>
      <w:r>
        <w:rPr>
          <w:rFonts w:ascii="Arial" w:hAnsi="Arial" w:cs="Arial"/>
          <w:sz w:val="24"/>
          <w:szCs w:val="24"/>
        </w:rPr>
        <w:t>3.2.2 上海地区多遇地震和设防烈度地震时，</w:t>
      </w:r>
      <w:r>
        <w:rPr>
          <w:rFonts w:hint="eastAsia" w:ascii="宋体" w:hAnsi="宋体" w:cs="宋体"/>
          <w:sz w:val="24"/>
          <w:szCs w:val="24"/>
        </w:rPr>
        <w:t>Ⅲ</w:t>
      </w:r>
      <w:r>
        <w:rPr>
          <w:rFonts w:ascii="Arial" w:hAnsi="Arial" w:cs="Arial"/>
          <w:sz w:val="24"/>
          <w:szCs w:val="24"/>
        </w:rPr>
        <w:t>类场地的设计特征周期取为0.65s，</w:t>
      </w:r>
      <w:r>
        <w:rPr>
          <w:rFonts w:hint="eastAsia" w:ascii="宋体" w:hAnsi="宋体" w:cs="宋体"/>
          <w:sz w:val="24"/>
          <w:szCs w:val="24"/>
        </w:rPr>
        <w:t>Ⅳ</w:t>
      </w:r>
      <w:r>
        <w:rPr>
          <w:rFonts w:ascii="Arial" w:hAnsi="Arial" w:cs="Arial"/>
          <w:sz w:val="24"/>
          <w:szCs w:val="24"/>
        </w:rPr>
        <w:t>类场地的设计特征周期取为0.9s，罕遇地震时</w:t>
      </w:r>
      <w:r>
        <w:rPr>
          <w:rFonts w:hint="eastAsia" w:ascii="宋体" w:hAnsi="宋体" w:cs="宋体"/>
          <w:sz w:val="24"/>
          <w:szCs w:val="24"/>
        </w:rPr>
        <w:t>Ⅲ</w:t>
      </w:r>
      <w:r>
        <w:rPr>
          <w:rFonts w:ascii="Arial" w:hAnsi="Arial" w:cs="Arial"/>
          <w:sz w:val="24"/>
          <w:szCs w:val="24"/>
        </w:rPr>
        <w:t>、</w:t>
      </w:r>
      <w:r>
        <w:rPr>
          <w:rFonts w:hint="eastAsia" w:ascii="宋体" w:hAnsi="宋体" w:cs="宋体"/>
          <w:sz w:val="24"/>
          <w:szCs w:val="24"/>
        </w:rPr>
        <w:t>Ⅳ</w:t>
      </w:r>
      <w:r>
        <w:rPr>
          <w:rFonts w:ascii="Arial" w:hAnsi="Arial" w:cs="Arial"/>
          <w:sz w:val="24"/>
          <w:szCs w:val="24"/>
        </w:rPr>
        <w:t>类场地的设计特征周期都取为1.1s。相应于各抗震设防烈度的设计</w:t>
      </w:r>
      <w:r>
        <w:rPr>
          <w:rFonts w:hint="eastAsia" w:ascii="Arial" w:hAnsi="Arial" w:cs="Arial"/>
          <w:sz w:val="24"/>
          <w:szCs w:val="24"/>
        </w:rPr>
        <w:t>基本</w:t>
      </w:r>
      <w:r>
        <w:rPr>
          <w:rFonts w:ascii="Arial" w:hAnsi="Arial" w:cs="Arial"/>
          <w:sz w:val="24"/>
          <w:szCs w:val="24"/>
        </w:rPr>
        <w:t>地震加速度取值，应按表3.2.2采用。</w:t>
      </w:r>
    </w:p>
    <w:p>
      <w:pPr>
        <w:spacing w:before="156" w:beforeLines="50" w:after="156" w:afterLines="50"/>
        <w:ind w:right="88" w:rightChars="42"/>
        <w:jc w:val="center"/>
        <w:rPr>
          <w:rFonts w:ascii="Arial" w:hAnsi="Arial" w:cs="Arial"/>
          <w:szCs w:val="21"/>
        </w:rPr>
      </w:pPr>
      <w:r>
        <w:rPr>
          <w:rFonts w:ascii="Arial" w:hAnsi="Arial" w:cs="Arial"/>
          <w:szCs w:val="21"/>
        </w:rPr>
        <w:drawing>
          <wp:inline distT="0" distB="0" distL="0" distR="0">
            <wp:extent cx="4759960" cy="1229360"/>
            <wp:effectExtent l="19050" t="0" r="2540" b="0"/>
            <wp:docPr id="24" name="图片 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31"/>
                    <pic:cNvPicPr>
                      <a:picLocks noChangeAspect="true" noChangeArrowheads="true"/>
                    </pic:cNvPicPr>
                  </pic:nvPicPr>
                  <pic:blipFill>
                    <a:blip r:embed="rId41"/>
                    <a:srcRect/>
                    <a:stretch>
                      <a:fillRect/>
                    </a:stretch>
                  </pic:blipFill>
                  <pic:spPr>
                    <a:xfrm>
                      <a:off x="0" y="0"/>
                      <a:ext cx="4759960" cy="1229360"/>
                    </a:xfrm>
                    <a:prstGeom prst="rect">
                      <a:avLst/>
                    </a:prstGeom>
                    <a:noFill/>
                    <a:ln w="9525">
                      <a:noFill/>
                      <a:miter lim="800000"/>
                      <a:headEnd/>
                      <a:tailEnd/>
                    </a:ln>
                  </pic:spPr>
                </pic:pic>
              </a:graphicData>
            </a:graphic>
          </wp:inline>
        </w:drawing>
      </w:r>
    </w:p>
    <w:p>
      <w:pPr>
        <w:spacing w:line="360" w:lineRule="auto"/>
        <w:rPr>
          <w:rFonts w:ascii="Arial" w:hAnsi="Arial" w:cs="Arial"/>
          <w:sz w:val="24"/>
          <w:szCs w:val="24"/>
        </w:rPr>
      </w:pPr>
      <w:r>
        <w:rPr>
          <w:rFonts w:ascii="Arial" w:hAnsi="Arial" w:cs="Arial"/>
          <w:sz w:val="24"/>
          <w:szCs w:val="24"/>
        </w:rPr>
        <w:t>3.4.3 建筑形体及其构件布置的平面、竖向不规则性，应按下列要求划分：</w:t>
      </w:r>
    </w:p>
    <w:p>
      <w:pPr>
        <w:spacing w:line="360" w:lineRule="auto"/>
        <w:ind w:firstLine="480" w:firstLineChars="200"/>
        <w:rPr>
          <w:rFonts w:ascii="Arial" w:hAnsi="Arial" w:cs="Arial"/>
          <w:kern w:val="0"/>
          <w:sz w:val="24"/>
          <w:szCs w:val="24"/>
        </w:rPr>
      </w:pPr>
      <w:r>
        <w:rPr>
          <w:rFonts w:ascii="Arial" w:hAnsi="Arial" w:cs="Arial"/>
          <w:kern w:val="0"/>
          <w:sz w:val="24"/>
          <w:szCs w:val="24"/>
        </w:rPr>
        <w:t>1 混凝土房屋、钢结构房屋和钢-混凝土混合结构房屋存在表3.4.3-1所列举的某项平面不规则类型或表3.4.3-2所列举的某项竖向不规则类型以及类似的不规则类型，应属于不规则的建筑。</w:t>
      </w:r>
    </w:p>
    <w:p>
      <w:pPr>
        <w:spacing w:before="156" w:beforeLines="50" w:after="156" w:afterLines="50"/>
        <w:ind w:right="88" w:rightChars="42"/>
        <w:jc w:val="center"/>
        <w:rPr>
          <w:rFonts w:ascii="Arial" w:hAnsi="Arial" w:cs="Arial"/>
          <w:szCs w:val="21"/>
        </w:rPr>
      </w:pPr>
      <w:r>
        <w:rPr>
          <w:rFonts w:ascii="Arial" w:hAnsi="Arial" w:cs="Arial"/>
          <w:szCs w:val="21"/>
        </w:rPr>
        <w:drawing>
          <wp:inline distT="0" distB="0" distL="0" distR="0">
            <wp:extent cx="3839210" cy="3843655"/>
            <wp:effectExtent l="0" t="0" r="8890" b="4445"/>
            <wp:docPr id="25" name="图片 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32"/>
                    <pic:cNvPicPr>
                      <a:picLocks noChangeAspect="true" noChangeArrowheads="true"/>
                    </pic:cNvPicPr>
                  </pic:nvPicPr>
                  <pic:blipFill>
                    <a:blip r:embed="rId42"/>
                    <a:srcRect/>
                    <a:stretch>
                      <a:fillRect/>
                    </a:stretch>
                  </pic:blipFill>
                  <pic:spPr>
                    <a:xfrm>
                      <a:off x="0" y="0"/>
                      <a:ext cx="3839210" cy="3843655"/>
                    </a:xfrm>
                    <a:prstGeom prst="rect">
                      <a:avLst/>
                    </a:prstGeom>
                    <a:noFill/>
                    <a:ln w="9525">
                      <a:noFill/>
                      <a:miter lim="800000"/>
                      <a:headEnd/>
                      <a:tailEnd/>
                    </a:ln>
                  </pic:spPr>
                </pic:pic>
              </a:graphicData>
            </a:graphic>
          </wp:inline>
        </w:drawing>
      </w:r>
    </w:p>
    <w:p>
      <w:pPr>
        <w:spacing w:line="360" w:lineRule="auto"/>
        <w:ind w:firstLine="480" w:firstLineChars="200"/>
        <w:rPr>
          <w:rFonts w:ascii="Arial" w:hAnsi="Arial" w:cs="Arial"/>
          <w:kern w:val="0"/>
          <w:sz w:val="24"/>
          <w:szCs w:val="24"/>
        </w:rPr>
      </w:pPr>
      <w:r>
        <w:rPr>
          <w:rFonts w:ascii="Arial" w:hAnsi="Arial" w:cs="Arial"/>
          <w:kern w:val="0"/>
          <w:sz w:val="24"/>
          <w:szCs w:val="24"/>
        </w:rPr>
        <w:t>3 当存在多项不规则或某项不规则超过规定的参考指标较多时，应属于特别不规则的建筑。</w:t>
      </w:r>
    </w:p>
    <w:p>
      <w:pPr>
        <w:spacing w:line="360" w:lineRule="auto"/>
        <w:rPr>
          <w:rFonts w:ascii="Arial" w:hAnsi="Arial" w:cs="Arial"/>
          <w:sz w:val="24"/>
          <w:szCs w:val="24"/>
        </w:rPr>
      </w:pPr>
      <w:r>
        <w:rPr>
          <w:rFonts w:ascii="Arial" w:hAnsi="Arial" w:cs="Arial"/>
          <w:sz w:val="24"/>
          <w:szCs w:val="24"/>
        </w:rPr>
        <w:t>3.4.4 建筑形体及其构件布置不规则时，应按下列要求进行地震作用计算和内力调整，并应对薄弱部位采取有效的抗震构造措施：</w:t>
      </w:r>
    </w:p>
    <w:p>
      <w:pPr>
        <w:spacing w:line="360" w:lineRule="auto"/>
        <w:ind w:firstLine="480" w:firstLineChars="200"/>
        <w:rPr>
          <w:rFonts w:ascii="Arial" w:hAnsi="Arial" w:cs="Arial"/>
          <w:kern w:val="0"/>
          <w:sz w:val="24"/>
          <w:szCs w:val="24"/>
        </w:rPr>
      </w:pPr>
      <w:r>
        <w:rPr>
          <w:rFonts w:ascii="Arial" w:hAnsi="Arial" w:cs="Arial"/>
          <w:kern w:val="0"/>
          <w:sz w:val="24"/>
          <w:szCs w:val="24"/>
        </w:rPr>
        <w:t>1 平面不规则而竖向规则的建筑，应采用空间结构计算模型，并应符合下列要求：</w:t>
      </w:r>
    </w:p>
    <w:p>
      <w:pPr>
        <w:pStyle w:val="78"/>
        <w:numPr>
          <w:ilvl w:val="0"/>
          <w:numId w:val="6"/>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扭转不规则时，应计入扭转影响，且楼层竖向构件最大的弹性水平位移和层间位移分别不宜大于楼层两端弹性水平位移和层间位移平均值的1.5倍，当最大层间位移远小于规范限值时，可适当放宽；</w:t>
      </w:r>
    </w:p>
    <w:p>
      <w:pPr>
        <w:pStyle w:val="78"/>
        <w:numPr>
          <w:ilvl w:val="0"/>
          <w:numId w:val="6"/>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凹凸不规则或楼板局部不连续时，应采用符合楼板平面内实际刚度变化的计算模型；高烈度或不规则程度较大时，宜计入楼板局部变形的影响</w:t>
      </w:r>
      <w:r>
        <w:rPr>
          <w:rFonts w:hint="eastAsia" w:ascii="Arial" w:hAnsi="Arial" w:cs="Arial"/>
          <w:kern w:val="0"/>
          <w:sz w:val="24"/>
          <w:szCs w:val="24"/>
        </w:rPr>
        <w:t>；</w:t>
      </w:r>
    </w:p>
    <w:p>
      <w:pPr>
        <w:pStyle w:val="78"/>
        <w:numPr>
          <w:ilvl w:val="0"/>
          <w:numId w:val="6"/>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平面不对称且凹凸不规则或楼板局部不连续时，可根据实际情况分块计算扭转位移比，对扭转较大的部位应采用局部的内力增大系数。</w:t>
      </w:r>
    </w:p>
    <w:p>
      <w:pPr>
        <w:spacing w:line="360" w:lineRule="auto"/>
        <w:ind w:firstLine="480" w:firstLineChars="200"/>
        <w:rPr>
          <w:rFonts w:ascii="Arial" w:hAnsi="Arial" w:cs="Arial"/>
          <w:szCs w:val="21"/>
        </w:rPr>
      </w:pPr>
      <w:r>
        <w:rPr>
          <w:rFonts w:ascii="Arial" w:hAnsi="Arial" w:cs="Arial"/>
          <w:kern w:val="0"/>
          <w:sz w:val="24"/>
          <w:szCs w:val="24"/>
        </w:rPr>
        <w:t>2 平面规则而竖向不规则的建筑，应采用空间结构计算模型，刚度小的楼层的地震剪力应乘以不小于1.15的增大系数，其薄弱层应按本</w:t>
      </w:r>
      <w:r>
        <w:rPr>
          <w:rFonts w:hint="eastAsia" w:ascii="Arial" w:hAnsi="Arial" w:cs="Arial"/>
          <w:kern w:val="0"/>
          <w:sz w:val="24"/>
          <w:szCs w:val="24"/>
        </w:rPr>
        <w:t>规程</w:t>
      </w:r>
      <w:r>
        <w:rPr>
          <w:rFonts w:ascii="Arial" w:hAnsi="Arial" w:cs="Arial"/>
          <w:kern w:val="0"/>
          <w:sz w:val="24"/>
          <w:szCs w:val="24"/>
        </w:rPr>
        <w:t>有关规定进行弹塑性变形分析，并应符合下列要求：</w:t>
      </w:r>
    </w:p>
    <w:p>
      <w:pPr>
        <w:pStyle w:val="78"/>
        <w:numPr>
          <w:ilvl w:val="0"/>
          <w:numId w:val="7"/>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竖向抗侧力构件不连续时，该构件传递给水平转换构件的地震内力应根据烈度高低和水平转换构件的类型、受力情况、几何尺寸等，乘以1.25～2.0的增大系数；</w:t>
      </w:r>
    </w:p>
    <w:p>
      <w:pPr>
        <w:pStyle w:val="78"/>
        <w:numPr>
          <w:ilvl w:val="0"/>
          <w:numId w:val="7"/>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侧向刚度不规则时，相邻层的侧向刚度比应依据其结构类型符合本规程相关章节的规定；</w:t>
      </w:r>
    </w:p>
    <w:p>
      <w:pPr>
        <w:pStyle w:val="78"/>
        <w:numPr>
          <w:ilvl w:val="0"/>
          <w:numId w:val="7"/>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楼层承载力突变时，薄弱层抗侧力结构的受剪承载力不应小于相邻上一楼层的65%。</w:t>
      </w:r>
    </w:p>
    <w:p>
      <w:pPr>
        <w:spacing w:line="360" w:lineRule="auto"/>
        <w:ind w:firstLine="480" w:firstLineChars="200"/>
        <w:rPr>
          <w:rFonts w:ascii="Arial" w:hAnsi="Arial" w:cs="Arial"/>
          <w:kern w:val="0"/>
          <w:sz w:val="24"/>
          <w:szCs w:val="24"/>
        </w:rPr>
      </w:pPr>
      <w:r>
        <w:rPr>
          <w:rFonts w:ascii="Arial" w:hAnsi="Arial" w:cs="Arial"/>
          <w:kern w:val="0"/>
          <w:sz w:val="24"/>
          <w:szCs w:val="24"/>
        </w:rPr>
        <w:t>3 平面不规则且竖向不规则的建筑，应根据不规则类型的数量和程度，有针对性地采取不低于本条1、2款要求的各项抗震措施。特别不规则的建筑，应经专门研究，采取更有效的加强措施或对薄弱部位采用相应的基于性能的抗震设计方法。</w:t>
      </w:r>
    </w:p>
    <w:p>
      <w:pPr>
        <w:spacing w:line="360" w:lineRule="auto"/>
        <w:rPr>
          <w:rFonts w:ascii="Arial" w:hAnsi="Arial" w:cs="Arial"/>
          <w:sz w:val="24"/>
          <w:szCs w:val="24"/>
        </w:rPr>
      </w:pPr>
      <w:r>
        <w:rPr>
          <w:rFonts w:ascii="Arial" w:hAnsi="Arial" w:cs="Arial"/>
          <w:sz w:val="24"/>
          <w:szCs w:val="24"/>
        </w:rPr>
        <w:t xml:space="preserve">3.9.2 </w:t>
      </w:r>
      <w:r>
        <w:rPr>
          <w:rFonts w:hint="eastAsia" w:ascii="Arial" w:hAnsi="Arial" w:cs="Arial"/>
          <w:sz w:val="24"/>
          <w:szCs w:val="24"/>
        </w:rPr>
        <w:t>结构材料性能指标，应符合下列要求：</w:t>
      </w:r>
    </w:p>
    <w:p>
      <w:pPr>
        <w:pStyle w:val="78"/>
        <w:spacing w:line="360" w:lineRule="auto"/>
        <w:ind w:left="480" w:firstLine="0" w:firstLineChars="0"/>
        <w:rPr>
          <w:rFonts w:ascii="Arial" w:hAnsi="Arial" w:cs="Arial"/>
          <w:sz w:val="24"/>
          <w:szCs w:val="24"/>
        </w:rPr>
      </w:pPr>
      <w:r>
        <w:rPr>
          <w:rFonts w:hint="eastAsia" w:ascii="Arial" w:hAnsi="Arial" w:cs="Arial"/>
          <w:sz w:val="24"/>
          <w:szCs w:val="24"/>
        </w:rPr>
        <w:t>3 钢结构的钢材应符合下列规定：</w:t>
      </w:r>
    </w:p>
    <w:p>
      <w:pPr>
        <w:pStyle w:val="78"/>
        <w:numPr>
          <w:ilvl w:val="0"/>
          <w:numId w:val="8"/>
        </w:numPr>
        <w:spacing w:line="360" w:lineRule="auto"/>
        <w:ind w:firstLineChars="0"/>
        <w:rPr>
          <w:rFonts w:ascii="Arial" w:hAnsi="Arial" w:cs="Arial"/>
          <w:kern w:val="0"/>
          <w:sz w:val="24"/>
          <w:szCs w:val="24"/>
        </w:rPr>
      </w:pPr>
      <w:r>
        <w:rPr>
          <w:rFonts w:hint="eastAsia" w:ascii="Arial" w:hAnsi="Arial" w:cs="Arial"/>
          <w:kern w:val="0"/>
          <w:sz w:val="24"/>
          <w:szCs w:val="24"/>
        </w:rPr>
        <w:t>钢材的屈服强度实测值与抗拉强度实测值的比值不应大于0.85；</w:t>
      </w:r>
    </w:p>
    <w:p>
      <w:pPr>
        <w:pStyle w:val="78"/>
        <w:numPr>
          <w:ilvl w:val="0"/>
          <w:numId w:val="8"/>
        </w:numPr>
        <w:spacing w:line="360" w:lineRule="auto"/>
        <w:ind w:firstLineChars="0"/>
        <w:rPr>
          <w:rFonts w:ascii="Arial" w:hAnsi="Arial" w:cs="Arial"/>
          <w:kern w:val="0"/>
          <w:sz w:val="24"/>
          <w:szCs w:val="24"/>
        </w:rPr>
      </w:pPr>
      <w:r>
        <w:rPr>
          <w:rFonts w:hint="eastAsia" w:ascii="Arial" w:hAnsi="Arial" w:cs="Arial"/>
          <w:kern w:val="0"/>
          <w:sz w:val="24"/>
          <w:szCs w:val="24"/>
        </w:rPr>
        <w:t>钢材应有明显的屈服台阶，且伸长率不应小于20%；</w:t>
      </w:r>
    </w:p>
    <w:p>
      <w:pPr>
        <w:pStyle w:val="78"/>
        <w:numPr>
          <w:ilvl w:val="0"/>
          <w:numId w:val="8"/>
        </w:numPr>
        <w:spacing w:line="360" w:lineRule="auto"/>
        <w:ind w:firstLineChars="0"/>
        <w:rPr>
          <w:rFonts w:ascii="Arial" w:hAnsi="Arial" w:cs="Arial"/>
          <w:kern w:val="0"/>
          <w:sz w:val="24"/>
          <w:szCs w:val="24"/>
        </w:rPr>
      </w:pPr>
      <w:r>
        <w:rPr>
          <w:rFonts w:hint="eastAsia" w:ascii="Arial" w:hAnsi="Arial" w:cs="Arial"/>
          <w:kern w:val="0"/>
          <w:sz w:val="24"/>
          <w:szCs w:val="24"/>
        </w:rPr>
        <w:t>钢材应有良好的焊接性和合格的冲击韧性。</w:t>
      </w:r>
    </w:p>
    <w:p>
      <w:pPr>
        <w:spacing w:line="360" w:lineRule="auto"/>
        <w:rPr>
          <w:rFonts w:ascii="Arial" w:hAnsi="Arial" w:cs="Arial"/>
          <w:sz w:val="24"/>
          <w:szCs w:val="24"/>
        </w:rPr>
      </w:pPr>
      <w:r>
        <w:rPr>
          <w:rFonts w:ascii="Arial" w:hAnsi="Arial" w:cs="Arial"/>
          <w:sz w:val="24"/>
          <w:szCs w:val="24"/>
        </w:rPr>
        <w:t>3.9.5 采用焊接连接的钢结构，当接头的焊接拘束度较大、钢板厚度不小于40mm且承受沿板厚方向的拉力时，钢板厚度方向截面收缩率不应小于国家标准《厚度方向性能钢板》GB/T5313关于Z15级规定的容许值。</w:t>
      </w:r>
    </w:p>
    <w:p>
      <w:pPr>
        <w:spacing w:line="360" w:lineRule="auto"/>
        <w:rPr>
          <w:rFonts w:ascii="Arial" w:hAnsi="Arial" w:cs="Arial"/>
          <w:sz w:val="24"/>
          <w:szCs w:val="24"/>
        </w:rPr>
      </w:pPr>
      <w:r>
        <w:rPr>
          <w:rFonts w:ascii="Arial" w:hAnsi="Arial" w:cs="Arial"/>
          <w:sz w:val="24"/>
          <w:szCs w:val="24"/>
        </w:rPr>
        <w:t>4.2.4 地基抗液化措施应根据建筑物的抗震设防类别和地基的液化等级参照表4.2.4结合具体情况予以确定。不宜将未经处理的可液化土层作为建筑物基础的持力层。</w:t>
      </w:r>
    </w:p>
    <w:p>
      <w:pPr>
        <w:spacing w:before="156" w:beforeLines="50" w:after="156" w:afterLines="50"/>
        <w:ind w:right="420" w:rightChars="200"/>
        <w:jc w:val="center"/>
        <w:rPr>
          <w:rFonts w:ascii="Arial" w:hAnsi="Arial" w:cs="Arial"/>
          <w:szCs w:val="21"/>
        </w:rPr>
      </w:pPr>
      <w:r>
        <w:rPr>
          <w:rFonts w:ascii="Arial" w:hAnsi="Arial" w:cs="Arial"/>
          <w:szCs w:val="21"/>
        </w:rPr>
        <w:drawing>
          <wp:inline distT="0" distB="0" distL="0" distR="0">
            <wp:extent cx="4282440" cy="3642360"/>
            <wp:effectExtent l="19050" t="0" r="3810" b="0"/>
            <wp:docPr id="26" name="图片 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33"/>
                    <pic:cNvPicPr>
                      <a:picLocks noChangeAspect="true" noChangeArrowheads="true"/>
                    </pic:cNvPicPr>
                  </pic:nvPicPr>
                  <pic:blipFill>
                    <a:blip r:embed="rId43"/>
                    <a:srcRect/>
                    <a:stretch>
                      <a:fillRect/>
                    </a:stretch>
                  </pic:blipFill>
                  <pic:spPr>
                    <a:xfrm>
                      <a:off x="0" y="0"/>
                      <a:ext cx="4282440" cy="3642360"/>
                    </a:xfrm>
                    <a:prstGeom prst="rect">
                      <a:avLst/>
                    </a:prstGeom>
                    <a:noFill/>
                    <a:ln w="9525">
                      <a:noFill/>
                      <a:miter lim="800000"/>
                      <a:headEnd/>
                      <a:tailEnd/>
                    </a:ln>
                  </pic:spPr>
                </pic:pic>
              </a:graphicData>
            </a:graphic>
          </wp:inline>
        </w:drawing>
      </w:r>
    </w:p>
    <w:p>
      <w:pPr>
        <w:spacing w:line="360" w:lineRule="auto"/>
        <w:rPr>
          <w:rFonts w:ascii="Arial" w:hAnsi="Arial" w:cs="Arial"/>
          <w:sz w:val="24"/>
          <w:szCs w:val="24"/>
        </w:rPr>
      </w:pPr>
    </w:p>
    <w:p>
      <w:pPr>
        <w:spacing w:line="360" w:lineRule="auto"/>
        <w:rPr>
          <w:rFonts w:ascii="Arial" w:hAnsi="Arial" w:cs="Arial"/>
          <w:sz w:val="24"/>
          <w:szCs w:val="24"/>
        </w:rPr>
      </w:pPr>
      <w:r>
        <w:rPr>
          <w:rFonts w:ascii="Arial" w:hAnsi="Arial" w:cs="Arial"/>
          <w:sz w:val="24"/>
          <w:szCs w:val="24"/>
        </w:rPr>
        <w:t>4.3.6 存在可液化土层的低承台桩基可按下列原则进行抗震验算：</w:t>
      </w:r>
    </w:p>
    <w:p>
      <w:pPr>
        <w:spacing w:line="360" w:lineRule="auto"/>
        <w:ind w:firstLine="480" w:firstLineChars="200"/>
        <w:rPr>
          <w:rFonts w:ascii="Arial" w:hAnsi="Arial" w:cs="Arial"/>
          <w:kern w:val="0"/>
          <w:sz w:val="24"/>
          <w:szCs w:val="24"/>
        </w:rPr>
      </w:pPr>
      <w:r>
        <w:rPr>
          <w:rFonts w:ascii="Arial" w:hAnsi="Arial" w:cs="Arial"/>
          <w:kern w:val="0"/>
          <w:sz w:val="24"/>
          <w:szCs w:val="24"/>
        </w:rPr>
        <w:t>1 单桩竖向承载力计算时，桩周各液化土层的摩阻力应按表4.3.6乘以该土层的液化影响折减系数。单桩水平承载力应按桩顶附近土层的液化强度比F</w:t>
      </w:r>
      <w:r>
        <w:rPr>
          <w:rFonts w:ascii="Arial" w:hAnsi="Arial" w:cs="Arial"/>
          <w:kern w:val="0"/>
          <w:sz w:val="24"/>
          <w:szCs w:val="24"/>
          <w:vertAlign w:val="subscript"/>
        </w:rPr>
        <w:t>le</w:t>
      </w:r>
      <w:r>
        <w:rPr>
          <w:rFonts w:ascii="Arial" w:hAnsi="Arial" w:cs="Arial"/>
          <w:kern w:val="0"/>
          <w:sz w:val="24"/>
          <w:szCs w:val="24"/>
        </w:rPr>
        <w:t>乘以表4.3.6的液化影响折减系数。</w:t>
      </w:r>
    </w:p>
    <w:p>
      <w:pPr>
        <w:spacing w:line="360" w:lineRule="auto"/>
        <w:ind w:firstLine="480" w:firstLineChars="200"/>
        <w:rPr>
          <w:rFonts w:ascii="Arial" w:hAnsi="Arial" w:cs="Arial"/>
          <w:kern w:val="0"/>
          <w:sz w:val="24"/>
          <w:szCs w:val="24"/>
        </w:rPr>
      </w:pPr>
      <w:r>
        <w:rPr>
          <w:rFonts w:ascii="Arial" w:hAnsi="Arial" w:cs="Arial"/>
          <w:kern w:val="0"/>
          <w:sz w:val="24"/>
          <w:szCs w:val="24"/>
        </w:rPr>
        <w:t>当桩承台底面以上和以下非液化土层或非软弱土的厚度分别小于1.5m、1.0m时，土层液化影响折减系数可按表4.3.6取值后再减去1/3（已取0者除外）。</w:t>
      </w:r>
    </w:p>
    <w:p>
      <w:pPr>
        <w:spacing w:line="360" w:lineRule="auto"/>
        <w:ind w:firstLine="480" w:firstLineChars="200"/>
        <w:rPr>
          <w:rFonts w:ascii="Arial" w:hAnsi="Arial" w:cs="Arial"/>
          <w:kern w:val="0"/>
          <w:sz w:val="24"/>
          <w:szCs w:val="24"/>
        </w:rPr>
      </w:pPr>
      <w:r>
        <w:rPr>
          <w:rFonts w:ascii="Arial" w:hAnsi="Arial" w:cs="Arial"/>
          <w:kern w:val="0"/>
          <w:sz w:val="24"/>
          <w:szCs w:val="24"/>
        </w:rPr>
        <w:t>2 当桩基承台及地下室周围存在液化土层时，如按照4.4.4条进行相应处理后，在水平抗震验算中可适当考虑承台和地下室正侧面的水平抗力，水平抗力的取值宜进行专门分析。</w:t>
      </w:r>
    </w:p>
    <w:p>
      <w:pPr>
        <w:spacing w:line="360" w:lineRule="auto"/>
        <w:rPr>
          <w:rFonts w:ascii="Arial" w:hAnsi="Arial" w:cs="Arial"/>
          <w:sz w:val="24"/>
          <w:szCs w:val="24"/>
        </w:rPr>
      </w:pPr>
      <w:r>
        <w:rPr>
          <w:rFonts w:ascii="Arial" w:hAnsi="Arial" w:cs="Arial"/>
          <w:sz w:val="24"/>
          <w:szCs w:val="24"/>
        </w:rPr>
        <w:t>5.1.2 各类建筑结构的抗震计算，应采用下列方法：</w:t>
      </w:r>
    </w:p>
    <w:p>
      <w:pPr>
        <w:spacing w:line="360" w:lineRule="auto"/>
        <w:ind w:firstLine="480" w:firstLineChars="200"/>
        <w:rPr>
          <w:rFonts w:ascii="Arial" w:hAnsi="Arial" w:cs="Arial"/>
          <w:kern w:val="0"/>
          <w:sz w:val="24"/>
          <w:szCs w:val="24"/>
        </w:rPr>
      </w:pPr>
      <w:r>
        <w:rPr>
          <w:rFonts w:ascii="Arial" w:hAnsi="Arial" w:cs="Arial"/>
          <w:kern w:val="0"/>
          <w:sz w:val="24"/>
          <w:szCs w:val="24"/>
        </w:rPr>
        <w:t>3 特别不规则的建筑、甲类建筑和表5.1.2-1所列高度范围的高层建筑，应采用时程分析法进行多遇地震下的补充计算；当取三组加速度时程曲线输入时，计算结果宜取时程法的包络值和振型分解反应谱法的较大值；当取七组及七组以上的时程曲线时，计算结果可取时程法的平均值和振型分解反应谱法的较大值。</w:t>
      </w:r>
    </w:p>
    <w:p>
      <w:pPr>
        <w:spacing w:line="360" w:lineRule="auto"/>
        <w:ind w:firstLine="480" w:firstLineChars="200"/>
        <w:rPr>
          <w:rFonts w:ascii="Arial" w:hAnsi="Arial" w:cs="Arial"/>
          <w:kern w:val="0"/>
          <w:sz w:val="24"/>
          <w:szCs w:val="24"/>
        </w:rPr>
      </w:pPr>
      <w:r>
        <w:rPr>
          <w:rFonts w:ascii="Arial" w:hAnsi="Arial" w:cs="Arial"/>
          <w:kern w:val="0"/>
          <w:sz w:val="24"/>
          <w:szCs w:val="24"/>
        </w:rPr>
        <w:t>采用时程分析法时，应按建筑场地类别和设计地震分组选用实际强震记录和人工模拟的加速度时程曲线，其中实际强震记录的数量不应少于总数的2/3，多组时程曲线的平均地震影响系数曲线应与振型分解反应谱法所采用的地震影响系数曲线在统计意义上相符，可采用本规程附录A列出的时程曲线，其加速度时程的最大值可按表5.1.2-2 采用。弹性时程分析时，每条时程曲线计算所得结构底部剪力不应小于振型分解反应谱法计算结果的65%，多条时程曲线计算所得结构底部剪力的平均值不应小于振型分解反应谱法计算结果的80%。</w:t>
      </w:r>
    </w:p>
    <w:p>
      <w:pPr>
        <w:tabs>
          <w:tab w:val="left" w:pos="8222"/>
        </w:tabs>
        <w:spacing w:before="156" w:beforeLines="50" w:after="156" w:afterLines="50"/>
        <w:ind w:right="84" w:rightChars="40"/>
        <w:jc w:val="center"/>
        <w:rPr>
          <w:rFonts w:ascii="Arial" w:hAnsi="Arial" w:cs="Arial"/>
          <w:szCs w:val="21"/>
        </w:rPr>
      </w:pPr>
      <w:r>
        <w:rPr>
          <w:rFonts w:ascii="Arial" w:hAnsi="Arial" w:cs="Arial"/>
          <w:szCs w:val="21"/>
        </w:rPr>
        <w:drawing>
          <wp:inline distT="0" distB="0" distL="0" distR="0">
            <wp:extent cx="4490720" cy="2875280"/>
            <wp:effectExtent l="19050" t="0" r="5080" b="0"/>
            <wp:docPr id="27" name="图片 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34"/>
                    <pic:cNvPicPr>
                      <a:picLocks noChangeAspect="true" noChangeArrowheads="true"/>
                    </pic:cNvPicPr>
                  </pic:nvPicPr>
                  <pic:blipFill>
                    <a:blip r:embed="rId44"/>
                    <a:srcRect/>
                    <a:stretch>
                      <a:fillRect/>
                    </a:stretch>
                  </pic:blipFill>
                  <pic:spPr>
                    <a:xfrm>
                      <a:off x="0" y="0"/>
                      <a:ext cx="4490720" cy="2875280"/>
                    </a:xfrm>
                    <a:prstGeom prst="rect">
                      <a:avLst/>
                    </a:prstGeom>
                    <a:noFill/>
                    <a:ln w="9525">
                      <a:noFill/>
                      <a:miter lim="800000"/>
                      <a:headEnd/>
                      <a:tailEnd/>
                    </a:ln>
                  </pic:spPr>
                </pic:pic>
              </a:graphicData>
            </a:graphic>
          </wp:inline>
        </w:drawing>
      </w:r>
    </w:p>
    <w:p>
      <w:pPr>
        <w:spacing w:line="360" w:lineRule="auto"/>
        <w:rPr>
          <w:rFonts w:ascii="Arial" w:hAnsi="Arial" w:cs="Arial"/>
          <w:sz w:val="24"/>
          <w:szCs w:val="24"/>
        </w:rPr>
      </w:pPr>
      <w:r>
        <w:rPr>
          <w:rFonts w:ascii="Arial" w:hAnsi="Arial" w:cs="Arial"/>
          <w:sz w:val="24"/>
          <w:szCs w:val="24"/>
        </w:rPr>
        <w:t>5.5.1 表5.5.1所列各类结构应进行多遇地震作用下的抗震变形验算，其楼层内最大的弹性层间位移应符合下式要求：</w:t>
      </w:r>
    </w:p>
    <w:p>
      <w:pPr>
        <w:spacing w:line="360" w:lineRule="auto"/>
        <w:ind w:firstLine="480" w:firstLineChars="200"/>
        <w:jc w:val="center"/>
        <w:rPr>
          <w:rFonts w:ascii="Arial" w:hAnsi="Arial" w:cs="Arial"/>
          <w:kern w:val="0"/>
          <w:sz w:val="24"/>
          <w:szCs w:val="24"/>
        </w:rPr>
      </w:pPr>
      <w:r>
        <w:rPr>
          <w:rFonts w:ascii="Arial" w:hAnsi="Arial" w:cs="Arial"/>
          <w:kern w:val="0"/>
          <w:sz w:val="24"/>
          <w:szCs w:val="24"/>
        </w:rPr>
        <w:t>Δu</w:t>
      </w:r>
      <w:r>
        <w:rPr>
          <w:rFonts w:ascii="Arial" w:hAnsi="Arial" w:cs="Arial"/>
          <w:kern w:val="0"/>
          <w:sz w:val="24"/>
          <w:szCs w:val="24"/>
          <w:vertAlign w:val="subscript"/>
        </w:rPr>
        <w:t>e</w:t>
      </w:r>
      <w:r>
        <w:rPr>
          <w:rFonts w:ascii="Arial" w:hAnsi="Arial" w:cs="Arial"/>
          <w:kern w:val="0"/>
          <w:sz w:val="24"/>
          <w:szCs w:val="24"/>
        </w:rPr>
        <w:t>≤［θ</w:t>
      </w:r>
      <w:r>
        <w:rPr>
          <w:rFonts w:ascii="Arial" w:hAnsi="Arial" w:cs="Arial"/>
          <w:kern w:val="0"/>
          <w:sz w:val="24"/>
          <w:szCs w:val="24"/>
          <w:vertAlign w:val="subscript"/>
        </w:rPr>
        <w:t>e</w:t>
      </w:r>
      <w:r>
        <w:rPr>
          <w:rFonts w:ascii="Arial" w:hAnsi="Arial" w:cs="Arial"/>
          <w:kern w:val="0"/>
          <w:sz w:val="24"/>
          <w:szCs w:val="24"/>
        </w:rPr>
        <w:t>］h             （5.5.1）</w:t>
      </w:r>
    </w:p>
    <w:p>
      <w:pPr>
        <w:spacing w:line="360" w:lineRule="auto"/>
        <w:ind w:left="1140" w:leftChars="200" w:hanging="720" w:hangingChars="300"/>
        <w:rPr>
          <w:rFonts w:ascii="Arial" w:hAnsi="Arial" w:cs="Arial"/>
          <w:kern w:val="0"/>
          <w:sz w:val="24"/>
          <w:szCs w:val="24"/>
        </w:rPr>
      </w:pPr>
      <w:r>
        <w:rPr>
          <w:rFonts w:ascii="Arial" w:hAnsi="Arial" w:cs="Arial"/>
          <w:kern w:val="0"/>
          <w:sz w:val="24"/>
          <w:szCs w:val="24"/>
        </w:rPr>
        <w:t>式中：Δu</w:t>
      </w:r>
      <w:r>
        <w:rPr>
          <w:rFonts w:ascii="Arial" w:hAnsi="Arial" w:cs="Arial"/>
          <w:kern w:val="0"/>
          <w:sz w:val="24"/>
          <w:szCs w:val="24"/>
          <w:vertAlign w:val="subscript"/>
        </w:rPr>
        <w:t>e</w:t>
      </w:r>
      <w:r>
        <w:rPr>
          <w:rFonts w:ascii="Arial" w:hAnsi="Arial" w:cs="Arial"/>
          <w:kern w:val="0"/>
          <w:sz w:val="24"/>
          <w:szCs w:val="24"/>
        </w:rPr>
        <w:t>——多遇地震作用标准值产生的楼层内最大的弹性层间位移；计算时，除以弯曲变形为主的高层建筑外，可不扣除结构整体弯曲变形；应计入扭转变形，各作用分项系数均应采用1.0；钢筋混凝土结构构件的截面刚度可采用弹性刚度；</w:t>
      </w:r>
    </w:p>
    <w:p>
      <w:pPr>
        <w:spacing w:line="360" w:lineRule="auto"/>
        <w:ind w:firstLine="1140" w:firstLineChars="475"/>
        <w:rPr>
          <w:rFonts w:ascii="Arial" w:hAnsi="Arial" w:cs="Arial"/>
          <w:kern w:val="0"/>
          <w:sz w:val="24"/>
          <w:szCs w:val="24"/>
        </w:rPr>
      </w:pPr>
      <w:r>
        <w:rPr>
          <w:rFonts w:ascii="Arial" w:hAnsi="Arial" w:cs="Arial"/>
          <w:kern w:val="0"/>
          <w:sz w:val="24"/>
          <w:szCs w:val="24"/>
        </w:rPr>
        <w:t>[θ</w:t>
      </w:r>
      <w:r>
        <w:rPr>
          <w:rFonts w:ascii="Arial" w:hAnsi="Arial" w:cs="Arial"/>
          <w:kern w:val="0"/>
          <w:sz w:val="24"/>
          <w:szCs w:val="24"/>
          <w:vertAlign w:val="subscript"/>
        </w:rPr>
        <w:t>e</w:t>
      </w:r>
      <w:r>
        <w:rPr>
          <w:rFonts w:ascii="Arial" w:hAnsi="Arial" w:cs="Arial"/>
          <w:kern w:val="0"/>
          <w:sz w:val="24"/>
          <w:szCs w:val="24"/>
        </w:rPr>
        <w:t>]——弹性层间位移角限值；</w:t>
      </w:r>
    </w:p>
    <w:p>
      <w:pPr>
        <w:spacing w:line="360" w:lineRule="auto"/>
        <w:ind w:firstLine="1140" w:firstLineChars="475"/>
        <w:rPr>
          <w:rFonts w:ascii="Arial" w:hAnsi="Arial" w:cs="Arial"/>
          <w:kern w:val="0"/>
          <w:sz w:val="24"/>
          <w:szCs w:val="24"/>
        </w:rPr>
      </w:pPr>
      <w:r>
        <w:rPr>
          <w:rFonts w:ascii="Arial" w:hAnsi="Arial" w:cs="Arial"/>
          <w:kern w:val="0"/>
          <w:sz w:val="24"/>
          <w:szCs w:val="24"/>
        </w:rPr>
        <w:t>h——计算楼层层高。</w:t>
      </w:r>
    </w:p>
    <w:p>
      <w:pPr>
        <w:spacing w:line="360" w:lineRule="auto"/>
        <w:ind w:firstLine="480" w:firstLineChars="200"/>
        <w:rPr>
          <w:rFonts w:ascii="Arial" w:hAnsi="Arial" w:cs="Arial"/>
          <w:kern w:val="0"/>
          <w:sz w:val="24"/>
          <w:szCs w:val="24"/>
        </w:rPr>
      </w:pPr>
      <w:r>
        <w:rPr>
          <w:rFonts w:ascii="Arial" w:hAnsi="Arial" w:cs="Arial"/>
          <w:kern w:val="0"/>
          <w:sz w:val="24"/>
          <w:szCs w:val="24"/>
        </w:rPr>
        <w:t>弹性层间位移角限值，宜符合以下规定：</w:t>
      </w:r>
    </w:p>
    <w:p>
      <w:pPr>
        <w:spacing w:line="360" w:lineRule="auto"/>
        <w:ind w:firstLine="480" w:firstLineChars="200"/>
        <w:rPr>
          <w:rFonts w:ascii="Arial" w:hAnsi="Arial" w:cs="Arial"/>
          <w:kern w:val="0"/>
          <w:sz w:val="24"/>
          <w:szCs w:val="24"/>
        </w:rPr>
      </w:pPr>
      <w:r>
        <w:rPr>
          <w:rFonts w:ascii="Arial" w:hAnsi="Arial" w:cs="Arial"/>
          <w:kern w:val="0"/>
          <w:sz w:val="24"/>
          <w:szCs w:val="24"/>
        </w:rPr>
        <w:t>1 高度不大于150m的建筑，其弹性层间位移角限值宜按表5.5.1采用。</w:t>
      </w:r>
    </w:p>
    <w:p>
      <w:pPr>
        <w:spacing w:line="360" w:lineRule="auto"/>
        <w:ind w:firstLine="480" w:firstLineChars="200"/>
        <w:rPr>
          <w:rFonts w:ascii="Arial" w:hAnsi="Arial" w:cs="Arial"/>
          <w:kern w:val="0"/>
          <w:sz w:val="24"/>
          <w:szCs w:val="24"/>
        </w:rPr>
      </w:pPr>
      <w:r>
        <w:rPr>
          <w:rFonts w:ascii="Arial" w:hAnsi="Arial" w:cs="Arial"/>
          <w:kern w:val="0"/>
          <w:sz w:val="24"/>
          <w:szCs w:val="24"/>
        </w:rPr>
        <w:t>2 高度不小于250m的建筑，其弹性层间位移角限值不宜大于1/500。</w:t>
      </w:r>
    </w:p>
    <w:p>
      <w:pPr>
        <w:spacing w:line="360" w:lineRule="auto"/>
        <w:ind w:firstLine="480" w:firstLineChars="200"/>
        <w:rPr>
          <w:rFonts w:ascii="Arial" w:hAnsi="Arial" w:cs="Arial"/>
          <w:kern w:val="0"/>
          <w:sz w:val="24"/>
          <w:szCs w:val="24"/>
        </w:rPr>
      </w:pPr>
      <w:r>
        <w:rPr>
          <w:rFonts w:ascii="Arial" w:hAnsi="Arial" w:cs="Arial"/>
          <w:kern w:val="0"/>
          <w:sz w:val="24"/>
          <w:szCs w:val="24"/>
        </w:rPr>
        <w:t>3 高度在150m~250m之间的建筑，其弹性层间位移角限值可按本条第1款和第2款的限值线性插入取用。</w:t>
      </w:r>
    </w:p>
    <w:p>
      <w:pPr>
        <w:spacing w:before="156" w:beforeLines="50" w:after="156" w:afterLines="50"/>
        <w:ind w:left="420" w:leftChars="200" w:right="88" w:rightChars="42"/>
        <w:jc w:val="left"/>
        <w:rPr>
          <w:rFonts w:ascii="Arial" w:hAnsi="Arial" w:cs="Arial"/>
          <w:szCs w:val="21"/>
        </w:rPr>
      </w:pPr>
      <w:r>
        <w:drawing>
          <wp:anchor distT="0" distB="0" distL="114300" distR="114300" simplePos="0" relativeHeight="251659264" behindDoc="1" locked="0" layoutInCell="1" allowOverlap="1">
            <wp:simplePos x="0" y="0"/>
            <wp:positionH relativeFrom="column">
              <wp:posOffset>287020</wp:posOffset>
            </wp:positionH>
            <wp:positionV relativeFrom="paragraph">
              <wp:posOffset>1627505</wp:posOffset>
            </wp:positionV>
            <wp:extent cx="4535805" cy="1509395"/>
            <wp:effectExtent l="0" t="0" r="0" b="0"/>
            <wp:wrapNone/>
            <wp:docPr id="64" name="图片 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4" name="图片 35"/>
                    <pic:cNvPicPr>
                      <a:picLocks noChangeAspect="true" noChangeArrowheads="true"/>
                    </pic:cNvPicPr>
                  </pic:nvPicPr>
                  <pic:blipFill>
                    <a:blip r:embed="rId45"/>
                    <a:srcRect/>
                    <a:stretch>
                      <a:fillRect/>
                    </a:stretch>
                  </pic:blipFill>
                  <pic:spPr>
                    <a:xfrm>
                      <a:off x="0" y="0"/>
                      <a:ext cx="4535805" cy="1509395"/>
                    </a:xfrm>
                    <a:prstGeom prst="rect">
                      <a:avLst/>
                    </a:prstGeom>
                    <a:noFill/>
                    <a:ln w="9525">
                      <a:noFill/>
                      <a:miter lim="800000"/>
                      <a:headEnd/>
                      <a:tailEnd/>
                    </a:ln>
                  </pic:spPr>
                </pic:pic>
              </a:graphicData>
            </a:graphic>
          </wp:anchor>
        </w:drawing>
      </w:r>
      <w:r>
        <w:rPr>
          <w:rFonts w:ascii="Arial" w:hAnsi="Arial" w:cs="Arial"/>
          <w:szCs w:val="21"/>
        </w:rPr>
        <w:drawing>
          <wp:inline distT="0" distB="0" distL="0" distR="0">
            <wp:extent cx="4541520" cy="1493520"/>
            <wp:effectExtent l="19050" t="0" r="0" b="0"/>
            <wp:docPr id="28" name="图片 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36"/>
                    <pic:cNvPicPr>
                      <a:picLocks noChangeAspect="true" noChangeArrowheads="true"/>
                    </pic:cNvPicPr>
                  </pic:nvPicPr>
                  <pic:blipFill>
                    <a:blip r:embed="rId46"/>
                    <a:srcRect/>
                    <a:stretch>
                      <a:fillRect/>
                    </a:stretch>
                  </pic:blipFill>
                  <pic:spPr>
                    <a:xfrm>
                      <a:off x="0" y="0"/>
                      <a:ext cx="4541520" cy="1493520"/>
                    </a:xfrm>
                    <a:prstGeom prst="rect">
                      <a:avLst/>
                    </a:prstGeom>
                    <a:noFill/>
                    <a:ln w="9525">
                      <a:noFill/>
                      <a:miter lim="800000"/>
                      <a:headEnd/>
                      <a:tailEnd/>
                    </a:ln>
                  </pic:spPr>
                </pic:pic>
              </a:graphicData>
            </a:graphic>
          </wp:inline>
        </w:drawing>
      </w:r>
    </w:p>
    <w:p>
      <w:pPr>
        <w:spacing w:before="156" w:beforeLines="50" w:after="156" w:afterLines="50"/>
        <w:ind w:left="420" w:leftChars="200" w:right="420" w:rightChars="200"/>
        <w:jc w:val="left"/>
        <w:rPr>
          <w:rFonts w:ascii="Arial" w:hAnsi="Arial" w:cs="Arial"/>
          <w:szCs w:val="21"/>
        </w:rPr>
      </w:pPr>
    </w:p>
    <w:p>
      <w:pPr>
        <w:spacing w:before="156" w:beforeLines="50" w:after="156" w:afterLines="50"/>
        <w:ind w:left="420" w:leftChars="200" w:right="420" w:rightChars="200"/>
        <w:jc w:val="left"/>
        <w:rPr>
          <w:rFonts w:ascii="Arial" w:hAnsi="Arial" w:cs="Arial"/>
          <w:szCs w:val="21"/>
        </w:rPr>
      </w:pPr>
    </w:p>
    <w:p>
      <w:pPr>
        <w:spacing w:before="156" w:beforeLines="50" w:after="156" w:afterLines="50"/>
        <w:ind w:left="420" w:leftChars="200" w:right="420" w:rightChars="200"/>
        <w:jc w:val="left"/>
        <w:rPr>
          <w:rFonts w:ascii="Arial" w:hAnsi="Arial" w:cs="Arial"/>
          <w:szCs w:val="21"/>
        </w:rPr>
      </w:pPr>
    </w:p>
    <w:p>
      <w:pPr>
        <w:spacing w:before="156" w:beforeLines="50" w:after="156" w:afterLines="50"/>
        <w:ind w:left="420" w:leftChars="200" w:right="420" w:rightChars="200"/>
        <w:jc w:val="left"/>
        <w:rPr>
          <w:rFonts w:ascii="Arial" w:hAnsi="Arial" w:cs="Arial"/>
          <w:szCs w:val="21"/>
        </w:rPr>
      </w:pPr>
    </w:p>
    <w:p>
      <w:pPr>
        <w:spacing w:before="156" w:beforeLines="50" w:after="156" w:afterLines="50"/>
        <w:ind w:left="420" w:leftChars="200" w:right="420" w:rightChars="200"/>
        <w:jc w:val="left"/>
        <w:rPr>
          <w:rFonts w:ascii="Arial" w:hAnsi="Arial" w:cs="Arial"/>
          <w:szCs w:val="21"/>
        </w:rPr>
      </w:pPr>
    </w:p>
    <w:p>
      <w:pPr>
        <w:spacing w:line="360" w:lineRule="auto"/>
        <w:rPr>
          <w:rFonts w:ascii="Arial" w:hAnsi="Arial" w:cs="Arial"/>
          <w:sz w:val="24"/>
          <w:szCs w:val="24"/>
        </w:rPr>
      </w:pPr>
      <w:r>
        <w:rPr>
          <w:rFonts w:ascii="Arial" w:hAnsi="Arial" w:cs="Arial"/>
          <w:sz w:val="24"/>
          <w:szCs w:val="24"/>
        </w:rPr>
        <w:t>5.5.2 结构在罕遇地震作用下薄弱层的弹塑性变形验算，应符合下列要求：</w:t>
      </w:r>
    </w:p>
    <w:p>
      <w:pPr>
        <w:spacing w:line="360" w:lineRule="auto"/>
        <w:ind w:firstLine="480" w:firstLineChars="200"/>
        <w:rPr>
          <w:rFonts w:ascii="Arial" w:hAnsi="Arial" w:cs="Arial"/>
          <w:kern w:val="0"/>
          <w:sz w:val="24"/>
          <w:szCs w:val="24"/>
        </w:rPr>
      </w:pPr>
      <w:r>
        <w:rPr>
          <w:rFonts w:ascii="Arial" w:hAnsi="Arial" w:cs="Arial"/>
          <w:kern w:val="0"/>
          <w:sz w:val="24"/>
          <w:szCs w:val="24"/>
        </w:rPr>
        <w:t>1 下列结构应进行弹塑性变形验算：</w:t>
      </w:r>
    </w:p>
    <w:p>
      <w:pPr>
        <w:pStyle w:val="78"/>
        <w:numPr>
          <w:ilvl w:val="0"/>
          <w:numId w:val="9"/>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8度</w:t>
      </w:r>
      <w:r>
        <w:rPr>
          <w:rFonts w:hint="eastAsia" w:ascii="宋体" w:hAnsi="宋体" w:cs="宋体"/>
          <w:kern w:val="0"/>
          <w:sz w:val="24"/>
          <w:szCs w:val="24"/>
        </w:rPr>
        <w:t>Ⅲ</w:t>
      </w:r>
      <w:r>
        <w:rPr>
          <w:rFonts w:ascii="Arial" w:hAnsi="Arial" w:cs="Arial"/>
          <w:kern w:val="0"/>
          <w:sz w:val="24"/>
          <w:szCs w:val="24"/>
        </w:rPr>
        <w:t>、</w:t>
      </w:r>
      <w:r>
        <w:rPr>
          <w:rFonts w:hint="eastAsia" w:ascii="宋体" w:hAnsi="宋体" w:cs="宋体"/>
          <w:kern w:val="0"/>
          <w:sz w:val="24"/>
          <w:szCs w:val="24"/>
        </w:rPr>
        <w:t>Ⅳ</w:t>
      </w:r>
      <w:r>
        <w:rPr>
          <w:rFonts w:ascii="Arial" w:hAnsi="Arial" w:cs="Arial"/>
          <w:kern w:val="0"/>
          <w:sz w:val="24"/>
          <w:szCs w:val="24"/>
        </w:rPr>
        <w:t>类场地上的高大单层钢筋混凝土柱厂房的横向排架；</w:t>
      </w:r>
    </w:p>
    <w:p>
      <w:pPr>
        <w:pStyle w:val="78"/>
        <w:numPr>
          <w:ilvl w:val="0"/>
          <w:numId w:val="9"/>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7、8度时楼层屈服强度系数小于0.5的钢筋混凝土框架结构和框排架结构；</w:t>
      </w:r>
    </w:p>
    <w:p>
      <w:pPr>
        <w:pStyle w:val="78"/>
        <w:numPr>
          <w:ilvl w:val="0"/>
          <w:numId w:val="9"/>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高度大于150m的结构；</w:t>
      </w:r>
    </w:p>
    <w:p>
      <w:pPr>
        <w:pStyle w:val="78"/>
        <w:numPr>
          <w:ilvl w:val="0"/>
          <w:numId w:val="9"/>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甲类建筑的钢筋混凝土结构和钢结构；</w:t>
      </w:r>
    </w:p>
    <w:p>
      <w:pPr>
        <w:pStyle w:val="78"/>
        <w:numPr>
          <w:ilvl w:val="0"/>
          <w:numId w:val="9"/>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采用隔震和消能减震设计的结构。</w:t>
      </w:r>
    </w:p>
    <w:p>
      <w:pPr>
        <w:spacing w:line="360" w:lineRule="auto"/>
        <w:ind w:firstLine="480" w:firstLineChars="200"/>
        <w:rPr>
          <w:rFonts w:ascii="Arial" w:hAnsi="Arial" w:cs="Arial"/>
          <w:kern w:val="0"/>
          <w:sz w:val="24"/>
          <w:szCs w:val="24"/>
        </w:rPr>
      </w:pPr>
      <w:r>
        <w:rPr>
          <w:rFonts w:ascii="Arial" w:hAnsi="Arial" w:cs="Arial"/>
          <w:kern w:val="0"/>
          <w:sz w:val="24"/>
          <w:szCs w:val="24"/>
        </w:rPr>
        <w:t>2 下列结构宜进行弹塑性变形验算：</w:t>
      </w:r>
    </w:p>
    <w:p>
      <w:pPr>
        <w:pStyle w:val="78"/>
        <w:numPr>
          <w:ilvl w:val="0"/>
          <w:numId w:val="10"/>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本规程表5.1.2-1所列高度范围且属于本规程表3.4.3-2所列竖向不规则类型的高层建筑结构；</w:t>
      </w:r>
    </w:p>
    <w:p>
      <w:pPr>
        <w:pStyle w:val="78"/>
        <w:numPr>
          <w:ilvl w:val="0"/>
          <w:numId w:val="10"/>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7度</w:t>
      </w:r>
      <w:r>
        <w:rPr>
          <w:rFonts w:hint="eastAsia" w:ascii="宋体" w:hAnsi="宋体" w:cs="宋体"/>
          <w:kern w:val="0"/>
          <w:sz w:val="24"/>
          <w:szCs w:val="24"/>
        </w:rPr>
        <w:t>Ⅲ</w:t>
      </w:r>
      <w:r>
        <w:rPr>
          <w:rFonts w:ascii="Arial" w:hAnsi="Arial" w:cs="Arial"/>
          <w:kern w:val="0"/>
          <w:sz w:val="24"/>
          <w:szCs w:val="24"/>
        </w:rPr>
        <w:t>、</w:t>
      </w:r>
      <w:r>
        <w:rPr>
          <w:rFonts w:hint="eastAsia" w:ascii="宋体" w:hAnsi="宋体" w:cs="宋体"/>
          <w:kern w:val="0"/>
          <w:sz w:val="24"/>
          <w:szCs w:val="24"/>
        </w:rPr>
        <w:t>Ⅳ</w:t>
      </w:r>
      <w:r>
        <w:rPr>
          <w:rFonts w:ascii="Arial" w:hAnsi="Arial" w:cs="Arial"/>
          <w:kern w:val="0"/>
          <w:sz w:val="24"/>
          <w:szCs w:val="24"/>
        </w:rPr>
        <w:t>类场地和8度时乙类建筑中的钢筋混凝土结构和钢结构；</w:t>
      </w:r>
    </w:p>
    <w:p>
      <w:pPr>
        <w:pStyle w:val="78"/>
        <w:numPr>
          <w:ilvl w:val="0"/>
          <w:numId w:val="10"/>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板-柱-抗震墙结构和底部框架砌体房屋；</w:t>
      </w:r>
    </w:p>
    <w:p>
      <w:pPr>
        <w:pStyle w:val="78"/>
        <w:numPr>
          <w:ilvl w:val="0"/>
          <w:numId w:val="10"/>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高度不大于150m的其他高层钢结构；</w:t>
      </w:r>
    </w:p>
    <w:p>
      <w:pPr>
        <w:pStyle w:val="78"/>
        <w:numPr>
          <w:ilvl w:val="0"/>
          <w:numId w:val="10"/>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不规则的地下建筑结构及地下空间综合体。</w:t>
      </w:r>
    </w:p>
    <w:p>
      <w:pPr>
        <w:spacing w:line="360" w:lineRule="auto"/>
        <w:ind w:firstLine="360" w:firstLineChars="200"/>
        <w:rPr>
          <w:rFonts w:ascii="Arial" w:hAnsi="Arial" w:cs="Arial"/>
          <w:kern w:val="0"/>
          <w:sz w:val="18"/>
          <w:szCs w:val="18"/>
        </w:rPr>
      </w:pPr>
      <w:r>
        <w:rPr>
          <w:rFonts w:ascii="Arial" w:hAnsi="Arial" w:cs="Arial"/>
          <w:kern w:val="0"/>
          <w:sz w:val="18"/>
          <w:szCs w:val="18"/>
        </w:rPr>
        <w:t>注：楼层屈服强度系数为按构件实际配筋和材料强度标准值计算的楼层受剪承载力和按罕遇地震作用标准值计算的楼层弹性地震剪力的比值；对排架柱，指按实际配筋面积、材料强度标准值和轴向力计算的正截面受弯承载力与按罕遇地震作用标准值计算的弹性地震弯矩的比值。</w:t>
      </w:r>
    </w:p>
    <w:p>
      <w:pPr>
        <w:spacing w:line="360" w:lineRule="auto"/>
        <w:ind w:firstLine="420" w:firstLineChars="200"/>
        <w:rPr>
          <w:rFonts w:ascii="Arial" w:hAnsi="Arial" w:cs="Arial"/>
          <w:kern w:val="0"/>
          <w:szCs w:val="24"/>
        </w:rPr>
      </w:pPr>
    </w:p>
    <w:p>
      <w:pPr>
        <w:spacing w:line="360" w:lineRule="auto"/>
        <w:rPr>
          <w:rFonts w:ascii="Arial" w:hAnsi="Arial" w:cs="Arial"/>
          <w:sz w:val="24"/>
          <w:szCs w:val="24"/>
        </w:rPr>
      </w:pPr>
      <w:r>
        <w:rPr>
          <w:rFonts w:ascii="Arial" w:hAnsi="Arial" w:cs="Arial"/>
          <w:sz w:val="24"/>
          <w:szCs w:val="24"/>
        </w:rPr>
        <w:t>5.5.5 结构薄弱层（部位）弹塑性层间位移应符合下式要求：</w:t>
      </w:r>
    </w:p>
    <w:p>
      <w:pPr>
        <w:spacing w:line="360" w:lineRule="auto"/>
        <w:jc w:val="center"/>
        <w:rPr>
          <w:rFonts w:ascii="Arial" w:hAnsi="Arial" w:cs="Arial"/>
          <w:kern w:val="0"/>
          <w:sz w:val="24"/>
          <w:szCs w:val="24"/>
        </w:rPr>
      </w:pPr>
      <w:r>
        <w:rPr>
          <w:rFonts w:ascii="Arial" w:hAnsi="Arial" w:cs="Arial"/>
          <w:kern w:val="0"/>
          <w:sz w:val="24"/>
          <w:szCs w:val="24"/>
        </w:rPr>
        <w:t>Δu</w:t>
      </w:r>
      <w:r>
        <w:rPr>
          <w:rFonts w:ascii="Arial" w:hAnsi="Arial" w:cs="Arial"/>
          <w:kern w:val="0"/>
          <w:sz w:val="24"/>
          <w:szCs w:val="24"/>
          <w:vertAlign w:val="subscript"/>
        </w:rPr>
        <w:t>p</w:t>
      </w:r>
      <w:r>
        <w:rPr>
          <w:rFonts w:ascii="Arial" w:hAnsi="Arial" w:cs="Arial"/>
          <w:kern w:val="0"/>
          <w:sz w:val="24"/>
          <w:szCs w:val="24"/>
        </w:rPr>
        <w:t>≤［θ</w:t>
      </w:r>
      <w:r>
        <w:rPr>
          <w:rFonts w:ascii="Arial" w:hAnsi="Arial" w:cs="Arial"/>
          <w:kern w:val="0"/>
          <w:sz w:val="24"/>
          <w:szCs w:val="24"/>
          <w:vertAlign w:val="subscript"/>
        </w:rPr>
        <w:t>p</w:t>
      </w:r>
      <w:r>
        <w:rPr>
          <w:rFonts w:ascii="Arial" w:hAnsi="Arial" w:cs="Arial"/>
          <w:kern w:val="0"/>
          <w:sz w:val="24"/>
          <w:szCs w:val="24"/>
        </w:rPr>
        <w:t>］h                  （5.5.5）</w:t>
      </w:r>
    </w:p>
    <w:p>
      <w:pPr>
        <w:spacing w:line="360" w:lineRule="auto"/>
        <w:ind w:left="1260" w:leftChars="200" w:hanging="840" w:hangingChars="350"/>
        <w:rPr>
          <w:rFonts w:ascii="Arial" w:hAnsi="Arial" w:cs="Arial"/>
          <w:kern w:val="0"/>
          <w:sz w:val="24"/>
          <w:szCs w:val="24"/>
        </w:rPr>
      </w:pPr>
      <w:r>
        <w:rPr>
          <w:rFonts w:ascii="Arial" w:hAnsi="Arial" w:cs="Arial"/>
          <w:kern w:val="0"/>
          <w:sz w:val="24"/>
          <w:szCs w:val="24"/>
        </w:rPr>
        <w:t>式中：［θ</w:t>
      </w:r>
      <w:r>
        <w:rPr>
          <w:rFonts w:ascii="Arial" w:hAnsi="Arial" w:cs="Arial"/>
          <w:kern w:val="0"/>
          <w:sz w:val="24"/>
          <w:szCs w:val="24"/>
          <w:vertAlign w:val="subscript"/>
        </w:rPr>
        <w:t>p</w:t>
      </w:r>
      <w:r>
        <w:rPr>
          <w:rFonts w:ascii="Arial" w:hAnsi="Arial" w:cs="Arial"/>
          <w:kern w:val="0"/>
          <w:sz w:val="24"/>
          <w:szCs w:val="24"/>
        </w:rPr>
        <w:t>］——弹塑性层间位移角限值，可按表5.5.5采用；对钢筋混凝土框架结构，当轴压比小于0.40时，可提高10%；当柱子全高的箍筋构造比本规程第6.3.9条规定的</w:t>
      </w:r>
      <w:r>
        <w:rPr>
          <w:rFonts w:hint="eastAsia" w:ascii="Arial" w:hAnsi="Arial" w:cs="Arial"/>
          <w:kern w:val="0"/>
          <w:sz w:val="24"/>
          <w:szCs w:val="24"/>
        </w:rPr>
        <w:t>最小配箍特征值</w:t>
      </w:r>
      <w:r>
        <w:rPr>
          <w:rFonts w:ascii="Arial" w:hAnsi="Arial" w:cs="Arial"/>
          <w:kern w:val="0"/>
          <w:sz w:val="24"/>
          <w:szCs w:val="24"/>
        </w:rPr>
        <w:t>大30%时，可提高20%，但累计不超过25%；</w:t>
      </w:r>
    </w:p>
    <w:p>
      <w:pPr>
        <w:spacing w:line="360" w:lineRule="auto"/>
        <w:ind w:firstLine="1260" w:firstLineChars="525"/>
        <w:rPr>
          <w:rFonts w:ascii="Arial" w:hAnsi="Arial" w:cs="Arial"/>
          <w:kern w:val="0"/>
          <w:sz w:val="24"/>
          <w:szCs w:val="24"/>
        </w:rPr>
      </w:pPr>
      <w:r>
        <w:rPr>
          <w:rFonts w:ascii="Arial" w:hAnsi="Arial" w:cs="Arial"/>
          <w:kern w:val="0"/>
          <w:sz w:val="24"/>
          <w:szCs w:val="24"/>
        </w:rPr>
        <w:t>h——薄弱层楼层高度或单层厂房上柱高度。</w:t>
      </w:r>
    </w:p>
    <w:p>
      <w:pPr>
        <w:tabs>
          <w:tab w:val="left" w:pos="8222"/>
        </w:tabs>
        <w:spacing w:before="156" w:beforeLines="50" w:after="156" w:afterLines="50"/>
        <w:ind w:right="84" w:rightChars="40"/>
        <w:jc w:val="center"/>
        <w:rPr>
          <w:rFonts w:ascii="Arial" w:hAnsi="Arial" w:cs="Arial"/>
          <w:szCs w:val="21"/>
        </w:rPr>
      </w:pPr>
      <w:r>
        <w:rPr>
          <w:rFonts w:ascii="Arial" w:hAnsi="Arial" w:cs="Arial"/>
          <w:szCs w:val="21"/>
        </w:rPr>
        <w:drawing>
          <wp:inline distT="0" distB="0" distL="0" distR="0">
            <wp:extent cx="4531360" cy="1981200"/>
            <wp:effectExtent l="19050" t="0" r="2540" b="0"/>
            <wp:docPr id="29" name="图片 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37"/>
                    <pic:cNvPicPr>
                      <a:picLocks noChangeAspect="true" noChangeArrowheads="true"/>
                    </pic:cNvPicPr>
                  </pic:nvPicPr>
                  <pic:blipFill>
                    <a:blip r:embed="rId47"/>
                    <a:srcRect/>
                    <a:stretch>
                      <a:fillRect/>
                    </a:stretch>
                  </pic:blipFill>
                  <pic:spPr>
                    <a:xfrm>
                      <a:off x="0" y="0"/>
                      <a:ext cx="4531360" cy="1981200"/>
                    </a:xfrm>
                    <a:prstGeom prst="rect">
                      <a:avLst/>
                    </a:prstGeom>
                    <a:noFill/>
                    <a:ln w="9525">
                      <a:noFill/>
                      <a:miter lim="800000"/>
                      <a:headEnd/>
                      <a:tailEnd/>
                    </a:ln>
                  </pic:spPr>
                </pic:pic>
              </a:graphicData>
            </a:graphic>
          </wp:inline>
        </w:drawing>
      </w:r>
    </w:p>
    <w:p>
      <w:pPr>
        <w:spacing w:line="360" w:lineRule="auto"/>
        <w:rPr>
          <w:rFonts w:ascii="Arial" w:hAnsi="Arial" w:cs="Arial"/>
          <w:sz w:val="24"/>
          <w:szCs w:val="24"/>
        </w:rPr>
      </w:pPr>
      <w:r>
        <w:rPr>
          <w:rFonts w:ascii="Arial" w:hAnsi="Arial" w:cs="Arial"/>
          <w:sz w:val="24"/>
          <w:szCs w:val="24"/>
        </w:rPr>
        <w:t>6.1.4 钢筋混凝土房屋抗震等级的确定，尚应符合下列要求：</w:t>
      </w:r>
    </w:p>
    <w:p>
      <w:pPr>
        <w:spacing w:line="360" w:lineRule="auto"/>
        <w:ind w:firstLine="480" w:firstLineChars="200"/>
        <w:rPr>
          <w:rFonts w:ascii="Arial" w:hAnsi="Arial" w:cs="Arial"/>
          <w:kern w:val="0"/>
          <w:sz w:val="24"/>
          <w:szCs w:val="24"/>
        </w:rPr>
      </w:pPr>
      <w:r>
        <w:rPr>
          <w:rFonts w:ascii="Arial" w:hAnsi="Arial" w:cs="Arial"/>
          <w:kern w:val="0"/>
          <w:sz w:val="24"/>
          <w:szCs w:val="24"/>
        </w:rPr>
        <w:t>1 设置少量抗震墙的框架结构，在规定的水平力作用下，底层框架部分所承担的地震倾覆力矩大于结构总地震倾覆力矩的50%时，其框架的抗震等级应按框架结构确定，抗震墙的抗震等级可与其框架的抗震等级相同。</w:t>
      </w:r>
    </w:p>
    <w:p>
      <w:pPr>
        <w:spacing w:line="360" w:lineRule="auto"/>
        <w:ind w:firstLine="480" w:firstLineChars="200"/>
        <w:rPr>
          <w:rFonts w:ascii="Arial" w:hAnsi="Arial" w:cs="Arial"/>
          <w:kern w:val="0"/>
          <w:sz w:val="24"/>
          <w:szCs w:val="24"/>
        </w:rPr>
      </w:pPr>
      <w:r>
        <w:rPr>
          <w:rFonts w:ascii="Arial" w:hAnsi="Arial" w:cs="Arial"/>
          <w:kern w:val="0"/>
          <w:sz w:val="24"/>
          <w:szCs w:val="24"/>
        </w:rPr>
        <w:t>注：底层指计算嵌固端所在的层。</w:t>
      </w:r>
    </w:p>
    <w:p>
      <w:pPr>
        <w:spacing w:line="360" w:lineRule="auto"/>
        <w:ind w:firstLine="480" w:firstLineChars="200"/>
        <w:rPr>
          <w:rFonts w:ascii="Arial" w:hAnsi="Arial" w:cs="Arial"/>
          <w:kern w:val="0"/>
          <w:sz w:val="24"/>
          <w:szCs w:val="24"/>
        </w:rPr>
      </w:pPr>
      <w:r>
        <w:rPr>
          <w:rFonts w:ascii="Arial" w:hAnsi="Arial" w:cs="Arial"/>
          <w:kern w:val="0"/>
          <w:sz w:val="24"/>
          <w:szCs w:val="24"/>
        </w:rPr>
        <w:t>2 裙房与主楼相连，除应按裙房本身确定抗震等级外，相关范围不应低于主楼的抗震等级；主楼结构在裙房顶板对应的相邻上下各一层应适当加强抗震构造措施。裙房与主楼分离时，应按裙房本身确定抗震等级。</w:t>
      </w:r>
    </w:p>
    <w:p>
      <w:pPr>
        <w:spacing w:line="360" w:lineRule="auto"/>
        <w:ind w:firstLine="480" w:firstLineChars="200"/>
        <w:rPr>
          <w:rFonts w:ascii="Arial" w:hAnsi="Arial" w:cs="Arial"/>
          <w:kern w:val="0"/>
          <w:sz w:val="24"/>
          <w:szCs w:val="24"/>
        </w:rPr>
      </w:pPr>
      <w:r>
        <w:rPr>
          <w:rFonts w:ascii="Arial" w:hAnsi="Arial" w:cs="Arial"/>
          <w:kern w:val="0"/>
          <w:sz w:val="24"/>
          <w:szCs w:val="24"/>
        </w:rPr>
        <w:t>3 当地下室顶板作为上部结构的嵌固部位时，地下－层相关范围的抗震等级应与上部结构相同，地下一层以下抗震构造措施的抗震等级可逐层降低一级，但不应低于四级。地下室中超出上部主楼相关范围且无上部结构的部分，抗震构造措施的抗震等级可根据具体情况采用三级或四级。</w:t>
      </w:r>
    </w:p>
    <w:p>
      <w:pPr>
        <w:spacing w:line="360" w:lineRule="auto"/>
        <w:ind w:firstLine="480" w:firstLineChars="200"/>
        <w:rPr>
          <w:rFonts w:ascii="Arial" w:hAnsi="Arial" w:cs="Arial"/>
          <w:kern w:val="0"/>
          <w:sz w:val="24"/>
          <w:szCs w:val="24"/>
        </w:rPr>
      </w:pPr>
      <w:r>
        <w:rPr>
          <w:rFonts w:ascii="Arial" w:hAnsi="Arial" w:cs="Arial"/>
          <w:kern w:val="0"/>
          <w:sz w:val="24"/>
          <w:szCs w:val="24"/>
        </w:rPr>
        <w:t>4 当甲、乙类建筑按规定提高一度确定其抗震等级时，若房屋的高度超过提高一度后所对应的房屋最大适用高度，则应采取比对应抗震等级更有效的抗震构造措施。</w:t>
      </w:r>
    </w:p>
    <w:p>
      <w:pPr>
        <w:spacing w:line="360" w:lineRule="auto"/>
        <w:rPr>
          <w:rFonts w:ascii="Arial" w:hAnsi="Arial" w:cs="Arial"/>
          <w:sz w:val="24"/>
          <w:szCs w:val="24"/>
        </w:rPr>
      </w:pPr>
      <w:r>
        <w:rPr>
          <w:rFonts w:ascii="Arial" w:hAnsi="Arial" w:cs="Arial"/>
          <w:sz w:val="24"/>
          <w:szCs w:val="24"/>
        </w:rPr>
        <w:t>6.1.5 钢筋提凝土房屋需要设置防震缝时，应符合下列规定：</w:t>
      </w:r>
    </w:p>
    <w:p>
      <w:pPr>
        <w:spacing w:line="360" w:lineRule="auto"/>
        <w:ind w:firstLine="480" w:firstLineChars="200"/>
        <w:rPr>
          <w:rFonts w:ascii="Arial" w:hAnsi="Arial" w:cs="Arial"/>
          <w:kern w:val="0"/>
          <w:sz w:val="24"/>
          <w:szCs w:val="24"/>
        </w:rPr>
      </w:pPr>
      <w:r>
        <w:rPr>
          <w:rFonts w:ascii="Arial" w:hAnsi="Arial" w:cs="Arial"/>
          <w:kern w:val="0"/>
          <w:sz w:val="24"/>
          <w:szCs w:val="24"/>
        </w:rPr>
        <w:t>1 防震缝宽度应分别符合下列要求：</w:t>
      </w:r>
    </w:p>
    <w:p>
      <w:pPr>
        <w:pStyle w:val="78"/>
        <w:numPr>
          <w:ilvl w:val="1"/>
          <w:numId w:val="11"/>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框架结构（包括设置少量抗震墙的框架结构）房屋的防震缝宽度，当高度不超过15m时不应小于100mm；高度超过15m时，6度、7度和8度分别每增加高度5m、4m和3mm，宜加宽20mm；</w:t>
      </w:r>
    </w:p>
    <w:p>
      <w:pPr>
        <w:pStyle w:val="78"/>
        <w:numPr>
          <w:ilvl w:val="1"/>
          <w:numId w:val="11"/>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框架-抗震墙结构房屋的防震缝宽度不应小于本款1）项规定数值的70%，抗震墙结构房屋的防震缝宽度不应小于本款1）项规定数值的50%；且均不宜小于100mm；</w:t>
      </w:r>
    </w:p>
    <w:p>
      <w:pPr>
        <w:pStyle w:val="78"/>
        <w:numPr>
          <w:ilvl w:val="1"/>
          <w:numId w:val="11"/>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防震缝两侧结构类型不同时，宜按需要较宽防震缝的结构类型和较低房屋高度确定缝宽。</w:t>
      </w:r>
    </w:p>
    <w:p>
      <w:pPr>
        <w:spacing w:line="360" w:lineRule="auto"/>
        <w:ind w:firstLine="480" w:firstLineChars="200"/>
        <w:rPr>
          <w:rFonts w:ascii="Arial" w:hAnsi="Arial" w:cs="Arial"/>
          <w:kern w:val="0"/>
          <w:sz w:val="24"/>
          <w:szCs w:val="24"/>
        </w:rPr>
      </w:pPr>
      <w:r>
        <w:rPr>
          <w:rFonts w:ascii="Arial" w:hAnsi="Arial" w:cs="Arial"/>
          <w:kern w:val="0"/>
          <w:sz w:val="24"/>
          <w:szCs w:val="24"/>
        </w:rPr>
        <w:t>2</w:t>
      </w:r>
      <w:r>
        <w:rPr>
          <w:rFonts w:hint="eastAsia" w:ascii="Arial" w:hAnsi="Arial" w:cs="Arial"/>
          <w:kern w:val="0"/>
          <w:sz w:val="24"/>
          <w:szCs w:val="24"/>
        </w:rPr>
        <w:t xml:space="preserve"> </w:t>
      </w:r>
      <w:r>
        <w:rPr>
          <w:rFonts w:ascii="Arial" w:hAnsi="Arial" w:cs="Arial"/>
          <w:kern w:val="0"/>
          <w:sz w:val="24"/>
          <w:szCs w:val="24"/>
        </w:rPr>
        <w:t xml:space="preserve"> 8度框架结构房屋防震缝两侧结构层高相差较大时，防震缝两侧框架柱的箍筋应沿房屋全高加密。</w:t>
      </w:r>
    </w:p>
    <w:p>
      <w:pPr>
        <w:spacing w:line="360" w:lineRule="auto"/>
        <w:rPr>
          <w:rFonts w:ascii="Arial" w:hAnsi="Arial" w:cs="Arial"/>
          <w:sz w:val="24"/>
          <w:szCs w:val="24"/>
        </w:rPr>
      </w:pPr>
      <w:r>
        <w:rPr>
          <w:rFonts w:ascii="Arial" w:hAnsi="Arial" w:cs="Arial"/>
          <w:sz w:val="24"/>
          <w:szCs w:val="24"/>
        </w:rPr>
        <w:t>6.1.7 框架结构和框架-抗震墙结构中，框架和抗震墙均应双向设置，柱中线与抗震墙中线、梁中线与柱中线之间偏心距大于柱宽的1/4时，应计入偏心的影响。</w:t>
      </w:r>
    </w:p>
    <w:p>
      <w:pPr>
        <w:spacing w:line="360" w:lineRule="auto"/>
        <w:ind w:firstLine="480" w:firstLineChars="200"/>
        <w:rPr>
          <w:rFonts w:ascii="Arial" w:hAnsi="Arial" w:cs="Arial"/>
          <w:kern w:val="0"/>
          <w:sz w:val="24"/>
          <w:szCs w:val="24"/>
        </w:rPr>
      </w:pPr>
      <w:r>
        <w:rPr>
          <w:rFonts w:ascii="Arial" w:hAnsi="Arial" w:cs="Arial"/>
          <w:kern w:val="0"/>
          <w:sz w:val="24"/>
          <w:szCs w:val="24"/>
        </w:rPr>
        <w:t>甲、乙类建筑以及高度大于24m的丙类建筑，不应采用单跨框架结构；高度不大于24m的丙类建筑不宜采用单跨框架结构。</w:t>
      </w:r>
    </w:p>
    <w:p>
      <w:pPr>
        <w:spacing w:line="360" w:lineRule="auto"/>
        <w:rPr>
          <w:rFonts w:ascii="Arial" w:hAnsi="Arial" w:cs="Arial"/>
          <w:kern w:val="0"/>
          <w:sz w:val="24"/>
          <w:szCs w:val="24"/>
        </w:rPr>
      </w:pPr>
      <w:r>
        <w:rPr>
          <w:rFonts w:ascii="Arial" w:hAnsi="Arial" w:cs="Arial"/>
          <w:sz w:val="24"/>
          <w:szCs w:val="24"/>
        </w:rPr>
        <w:t>6.1.9 采用装配整体式</w:t>
      </w:r>
      <w:r>
        <w:rPr>
          <w:rFonts w:hint="eastAsia" w:ascii="Arial" w:hAnsi="Arial" w:cs="Arial"/>
          <w:sz w:val="24"/>
          <w:szCs w:val="24"/>
        </w:rPr>
        <w:t>楼</w:t>
      </w:r>
      <w:r>
        <w:rPr>
          <w:rFonts w:ascii="Arial" w:hAnsi="Arial" w:cs="Arial"/>
          <w:sz w:val="24"/>
          <w:szCs w:val="24"/>
        </w:rPr>
        <w:t>、屋盖时应采取措施保证楼、屋盖的整体性及其</w:t>
      </w:r>
      <w:r>
        <w:rPr>
          <w:rFonts w:hint="eastAsia" w:ascii="Arial" w:hAnsi="Arial" w:cs="Arial"/>
          <w:sz w:val="24"/>
          <w:szCs w:val="24"/>
        </w:rPr>
        <w:t>与</w:t>
      </w:r>
      <w:r>
        <w:rPr>
          <w:rFonts w:ascii="Arial" w:hAnsi="Arial" w:cs="Arial"/>
          <w:sz w:val="24"/>
          <w:szCs w:val="24"/>
        </w:rPr>
        <w:t>抗震墙的可靠连接。装配整体式楼、屋盖采用配筋现浇面层加强时，厚度不应小于50mm。</w:t>
      </w:r>
    </w:p>
    <w:p>
      <w:pPr>
        <w:spacing w:line="360" w:lineRule="auto"/>
        <w:rPr>
          <w:rFonts w:ascii="Arial" w:hAnsi="Arial" w:cs="Arial"/>
          <w:sz w:val="24"/>
          <w:szCs w:val="24"/>
        </w:rPr>
      </w:pPr>
      <w:r>
        <w:rPr>
          <w:rFonts w:ascii="Arial" w:hAnsi="Arial" w:cs="Arial"/>
          <w:sz w:val="24"/>
          <w:szCs w:val="24"/>
        </w:rPr>
        <w:t>6.1.11 抗震墙结构和部分框支抗震墙结构中的抗震墙设置，应符合下列要求：</w:t>
      </w:r>
    </w:p>
    <w:p>
      <w:pPr>
        <w:spacing w:line="360" w:lineRule="auto"/>
        <w:ind w:firstLine="480" w:firstLineChars="200"/>
        <w:rPr>
          <w:rFonts w:ascii="Arial" w:hAnsi="Arial" w:cs="Arial"/>
          <w:kern w:val="0"/>
          <w:sz w:val="24"/>
          <w:szCs w:val="24"/>
        </w:rPr>
      </w:pPr>
      <w:r>
        <w:rPr>
          <w:rFonts w:ascii="Arial" w:hAnsi="Arial" w:cs="Arial"/>
          <w:kern w:val="0"/>
          <w:sz w:val="24"/>
          <w:szCs w:val="24"/>
        </w:rPr>
        <w:t>4 矩形平面的部分框支抗震墙结构，其框支层的楼层侧向刚度不应小于相邻非框支层楼层侧向刚度的50%；框支层落地抗震墙间距不宜大于24m，框支层的平面布置宜对称，且宜设抗震筒体；底层框架部分承担的地震倾覆力矩，不应大于结构总地震倾覆力矩的50%。</w:t>
      </w:r>
    </w:p>
    <w:p>
      <w:pPr>
        <w:spacing w:line="360" w:lineRule="auto"/>
        <w:rPr>
          <w:rFonts w:ascii="Arial" w:hAnsi="Arial" w:cs="Arial"/>
          <w:sz w:val="24"/>
          <w:szCs w:val="24"/>
        </w:rPr>
      </w:pPr>
      <w:r>
        <w:rPr>
          <w:rFonts w:ascii="Arial" w:hAnsi="Arial" w:cs="Arial"/>
          <w:sz w:val="24"/>
          <w:szCs w:val="24"/>
        </w:rPr>
        <w:t>6.1.12 抗震墙底部加强部位的范围，应符合下列规定：</w:t>
      </w:r>
    </w:p>
    <w:p>
      <w:pPr>
        <w:spacing w:line="360" w:lineRule="auto"/>
        <w:ind w:firstLine="480" w:firstLineChars="200"/>
        <w:rPr>
          <w:rFonts w:ascii="Arial" w:hAnsi="Arial" w:cs="Arial"/>
          <w:kern w:val="0"/>
          <w:sz w:val="24"/>
          <w:szCs w:val="24"/>
        </w:rPr>
      </w:pPr>
      <w:r>
        <w:rPr>
          <w:rFonts w:ascii="Arial" w:hAnsi="Arial" w:cs="Arial"/>
          <w:kern w:val="0"/>
          <w:sz w:val="24"/>
          <w:szCs w:val="24"/>
        </w:rPr>
        <w:t>1 底部加强部位的高度，应从地下室顶板算起。</w:t>
      </w:r>
    </w:p>
    <w:p>
      <w:pPr>
        <w:spacing w:line="360" w:lineRule="auto"/>
        <w:ind w:firstLine="480" w:firstLineChars="200"/>
        <w:rPr>
          <w:rFonts w:ascii="Arial" w:hAnsi="Arial" w:cs="Arial"/>
          <w:kern w:val="0"/>
          <w:sz w:val="24"/>
          <w:szCs w:val="24"/>
        </w:rPr>
      </w:pPr>
      <w:r>
        <w:rPr>
          <w:rFonts w:ascii="Arial" w:hAnsi="Arial" w:cs="Arial"/>
          <w:kern w:val="0"/>
          <w:sz w:val="24"/>
          <w:szCs w:val="24"/>
        </w:rPr>
        <w:t>2 部分框支抗震墙结构的抗震墙，其底部加强部位的高度，可取框支层加框支层以上两层的高度及落地抗震墙总高度的1/10二者的较大值。其他结构的抗震墙，房屋高度大于24m时，底部加强部位的高度可取底部两层和墙体总高度的1/10二者的较大值；房屋高度不大于24m时，底部加强部位可取底部一层。</w:t>
      </w:r>
    </w:p>
    <w:p>
      <w:pPr>
        <w:spacing w:line="360" w:lineRule="auto"/>
        <w:ind w:firstLine="480" w:firstLineChars="200"/>
        <w:rPr>
          <w:rFonts w:ascii="Arial" w:hAnsi="Arial" w:cs="Arial"/>
          <w:kern w:val="0"/>
          <w:sz w:val="24"/>
          <w:szCs w:val="24"/>
        </w:rPr>
      </w:pPr>
      <w:r>
        <w:rPr>
          <w:rFonts w:ascii="Arial" w:hAnsi="Arial" w:cs="Arial"/>
          <w:kern w:val="0"/>
          <w:sz w:val="24"/>
          <w:szCs w:val="24"/>
        </w:rPr>
        <w:t>3 当结构计算嵌固端位于地下一层的底板或以下时，底部加强部位尚宜向下延伸到计算嵌固端。</w:t>
      </w:r>
    </w:p>
    <w:p>
      <w:pPr>
        <w:spacing w:line="360" w:lineRule="auto"/>
        <w:rPr>
          <w:rFonts w:ascii="Arial" w:hAnsi="Arial" w:cs="Arial"/>
          <w:sz w:val="24"/>
          <w:szCs w:val="24"/>
        </w:rPr>
      </w:pPr>
      <w:r>
        <w:rPr>
          <w:rFonts w:ascii="Arial" w:hAnsi="Arial" w:cs="Arial"/>
          <w:sz w:val="24"/>
          <w:szCs w:val="24"/>
        </w:rPr>
        <w:t>6.1.17 地下室顶板作为上部结构的嵌固部位时，应符合下列要求：</w:t>
      </w:r>
    </w:p>
    <w:p>
      <w:pPr>
        <w:spacing w:line="360" w:lineRule="auto"/>
        <w:ind w:firstLine="480" w:firstLineChars="200"/>
        <w:rPr>
          <w:rFonts w:ascii="Arial" w:hAnsi="Arial" w:cs="Arial"/>
          <w:kern w:val="0"/>
          <w:sz w:val="24"/>
          <w:szCs w:val="24"/>
        </w:rPr>
      </w:pPr>
      <w:r>
        <w:rPr>
          <w:rFonts w:ascii="Arial" w:hAnsi="Arial" w:cs="Arial"/>
          <w:kern w:val="0"/>
          <w:sz w:val="24"/>
          <w:szCs w:val="24"/>
        </w:rPr>
        <w:t>1 地下室顶板应避免开设大洞口；地下室在地上结构相关范围的顶板应采用现浇梁板结构，相关范围以外的地下室顶板宜采用现浇梁板结构；其楼板厚度不宜小于180mm，混凝土强度等级不宜小于C30，应采用双层双向配筋，且每层每个方向的配筋率不宜小于0.25%。</w:t>
      </w:r>
    </w:p>
    <w:p>
      <w:pPr>
        <w:spacing w:line="360" w:lineRule="auto"/>
        <w:ind w:firstLine="480" w:firstLineChars="200"/>
        <w:rPr>
          <w:rFonts w:ascii="Arial" w:hAnsi="Arial" w:cs="Arial"/>
          <w:kern w:val="0"/>
          <w:sz w:val="24"/>
          <w:szCs w:val="24"/>
        </w:rPr>
      </w:pPr>
      <w:r>
        <w:rPr>
          <w:rFonts w:ascii="Arial" w:hAnsi="Arial" w:cs="Arial"/>
          <w:kern w:val="0"/>
          <w:sz w:val="24"/>
          <w:szCs w:val="24"/>
        </w:rPr>
        <w:t>2 地下室为一层或两层时，地下一层的楼层侧向刚度不宜小于相邻上部楼层侧向刚度的1.5倍；当地下室超过两层时，地下一层的楼层侧向刚度不宜小于相邻上部楼层侧向刚度的2倍；地下室周边宜有与其顶板相连的抗震墙。</w:t>
      </w:r>
    </w:p>
    <w:p>
      <w:pPr>
        <w:spacing w:line="360" w:lineRule="auto"/>
        <w:ind w:firstLine="480" w:firstLineChars="200"/>
        <w:rPr>
          <w:rFonts w:ascii="Arial" w:hAnsi="Arial" w:cs="Arial"/>
          <w:kern w:val="0"/>
          <w:sz w:val="24"/>
          <w:szCs w:val="24"/>
        </w:rPr>
      </w:pPr>
      <w:r>
        <w:rPr>
          <w:rFonts w:ascii="Arial" w:hAnsi="Arial" w:cs="Arial"/>
          <w:kern w:val="0"/>
          <w:sz w:val="24"/>
          <w:szCs w:val="24"/>
        </w:rPr>
        <w:t>3 地下室顶板对应于地上框架柱的梁柱节点除应满足抗震计算要求外，尚应符合下列规定之一：</w:t>
      </w:r>
    </w:p>
    <w:p>
      <w:pPr>
        <w:pStyle w:val="78"/>
        <w:numPr>
          <w:ilvl w:val="0"/>
          <w:numId w:val="12"/>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地下一层柱截面每侧纵向钢筋不应小于地上一层柱对应纵向钢筋</w:t>
      </w:r>
      <w:r>
        <w:rPr>
          <w:rFonts w:hint="eastAsia" w:ascii="Arial" w:hAnsi="Arial" w:cs="Arial"/>
          <w:kern w:val="0"/>
          <w:sz w:val="24"/>
          <w:szCs w:val="24"/>
        </w:rPr>
        <w:t>面积</w:t>
      </w:r>
      <w:r>
        <w:rPr>
          <w:rFonts w:ascii="Arial" w:hAnsi="Arial" w:cs="Arial"/>
          <w:kern w:val="0"/>
          <w:sz w:val="24"/>
          <w:szCs w:val="24"/>
        </w:rPr>
        <w:t>的1.1倍，且地下一层柱上端和节点左右梁端实配的抗震受弯承载力之和应大于地上一层柱下端实配的抗震受弯承载力的1.3倍。</w:t>
      </w:r>
    </w:p>
    <w:p>
      <w:pPr>
        <w:pStyle w:val="78"/>
        <w:numPr>
          <w:ilvl w:val="0"/>
          <w:numId w:val="12"/>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地下一层梁刚度较大时，柱截面每侧的纵向钢筋面积应大于地上一层对应柱每侧纵向钢筋面积的1.1倍；同时梁端顶面和底面的纵向钢筋面积均应比计算增大10%以上；</w:t>
      </w:r>
    </w:p>
    <w:p>
      <w:pPr>
        <w:spacing w:line="360" w:lineRule="auto"/>
        <w:ind w:firstLine="480" w:firstLineChars="200"/>
        <w:rPr>
          <w:rFonts w:ascii="Arial" w:hAnsi="Arial" w:cs="Arial"/>
          <w:kern w:val="0"/>
          <w:sz w:val="24"/>
          <w:szCs w:val="24"/>
        </w:rPr>
      </w:pPr>
      <w:r>
        <w:rPr>
          <w:rFonts w:ascii="Arial" w:hAnsi="Arial" w:cs="Arial"/>
          <w:kern w:val="0"/>
          <w:sz w:val="24"/>
          <w:szCs w:val="24"/>
        </w:rPr>
        <w:t>4 地下一层抗震墙墙肢端部边缘构件纵向钢筋的截面面积，不应少于地上一层对应墙肢端部边缘构件纵向钢筋的截面面积。</w:t>
      </w:r>
    </w:p>
    <w:p>
      <w:pPr>
        <w:spacing w:line="360" w:lineRule="auto"/>
        <w:rPr>
          <w:rFonts w:ascii="Arial" w:hAnsi="Arial" w:cs="Arial"/>
          <w:sz w:val="24"/>
          <w:szCs w:val="24"/>
        </w:rPr>
      </w:pPr>
      <w:r>
        <w:rPr>
          <w:rFonts w:ascii="Arial" w:hAnsi="Arial" w:cs="Arial"/>
          <w:sz w:val="24"/>
          <w:szCs w:val="24"/>
        </w:rPr>
        <w:t>6.1.18 楼梯间应符合下列要求：</w:t>
      </w:r>
    </w:p>
    <w:p>
      <w:pPr>
        <w:spacing w:line="360" w:lineRule="auto"/>
        <w:ind w:firstLine="480" w:firstLineChars="200"/>
        <w:rPr>
          <w:rFonts w:ascii="Arial" w:hAnsi="Arial" w:cs="Arial"/>
          <w:kern w:val="0"/>
          <w:sz w:val="24"/>
          <w:szCs w:val="24"/>
        </w:rPr>
      </w:pPr>
      <w:r>
        <w:rPr>
          <w:rFonts w:ascii="Arial" w:hAnsi="Arial" w:cs="Arial"/>
          <w:kern w:val="0"/>
          <w:sz w:val="24"/>
          <w:szCs w:val="24"/>
        </w:rPr>
        <w:t>2 对于框架结构，楼梯间的布置不应导致结构平面特别不规则；楼梯构件与主体结构整浇时，应计入楼梯构件对地震作用及其效应的影响，应进行楼梯构件的抗震承载力验算；宜采取构造措施，减少楼梯构件对主体结构刚度的影响。</w:t>
      </w:r>
    </w:p>
    <w:p>
      <w:pPr>
        <w:spacing w:line="360" w:lineRule="auto"/>
        <w:ind w:firstLine="480" w:firstLineChars="200"/>
        <w:rPr>
          <w:rFonts w:ascii="Arial" w:hAnsi="Arial" w:cs="Arial"/>
          <w:kern w:val="0"/>
          <w:sz w:val="24"/>
          <w:szCs w:val="24"/>
        </w:rPr>
      </w:pPr>
      <w:r>
        <w:rPr>
          <w:rFonts w:ascii="Arial" w:hAnsi="Arial" w:cs="Arial"/>
          <w:kern w:val="0"/>
          <w:sz w:val="24"/>
          <w:szCs w:val="24"/>
        </w:rPr>
        <w:t>3 楼梯间两侧填充墙与柱之间应加强拉结。</w:t>
      </w:r>
    </w:p>
    <w:p>
      <w:pPr>
        <w:spacing w:line="360" w:lineRule="auto"/>
        <w:rPr>
          <w:rFonts w:ascii="Arial" w:hAnsi="Arial" w:cs="Arial"/>
          <w:sz w:val="24"/>
          <w:szCs w:val="24"/>
        </w:rPr>
      </w:pPr>
      <w:r>
        <w:rPr>
          <w:rFonts w:ascii="Arial" w:hAnsi="Arial" w:cs="Arial"/>
          <w:sz w:val="24"/>
          <w:szCs w:val="24"/>
        </w:rPr>
        <w:t>6.1.20 高强混凝土结构抗震设计应符合本规程附录B的规定。</w:t>
      </w:r>
    </w:p>
    <w:p>
      <w:pPr>
        <w:spacing w:line="360" w:lineRule="auto"/>
        <w:rPr>
          <w:rFonts w:ascii="Arial" w:hAnsi="Arial" w:cs="Arial"/>
          <w:sz w:val="24"/>
          <w:szCs w:val="24"/>
        </w:rPr>
      </w:pPr>
      <w:r>
        <w:rPr>
          <w:rFonts w:ascii="Arial" w:hAnsi="Arial" w:cs="Arial"/>
          <w:sz w:val="24"/>
          <w:szCs w:val="24"/>
        </w:rPr>
        <w:t>6.1.21 预应力混凝土结构抗震设计应符合本规程附录C的规定。</w:t>
      </w:r>
    </w:p>
    <w:p>
      <w:pPr>
        <w:spacing w:line="360" w:lineRule="auto"/>
        <w:rPr>
          <w:rFonts w:ascii="Arial" w:hAnsi="Arial" w:cs="Arial"/>
          <w:sz w:val="24"/>
          <w:szCs w:val="24"/>
        </w:rPr>
      </w:pPr>
      <w:r>
        <w:rPr>
          <w:rFonts w:ascii="Arial" w:hAnsi="Arial" w:cs="Arial"/>
          <w:sz w:val="24"/>
          <w:szCs w:val="24"/>
        </w:rPr>
        <w:t>6.1.2</w:t>
      </w:r>
      <w:r>
        <w:rPr>
          <w:rFonts w:hint="eastAsia" w:ascii="Arial" w:hAnsi="Arial" w:cs="Arial"/>
          <w:sz w:val="24"/>
          <w:szCs w:val="24"/>
        </w:rPr>
        <w:t xml:space="preserve">2 </w:t>
      </w:r>
      <w:r>
        <w:rPr>
          <w:rFonts w:ascii="Arial" w:hAnsi="Arial" w:cs="Arial"/>
          <w:sz w:val="24"/>
          <w:szCs w:val="24"/>
        </w:rPr>
        <w:t>抗震</w:t>
      </w:r>
      <w:r>
        <w:rPr>
          <w:rFonts w:hint="eastAsia" w:ascii="Arial" w:hAnsi="Arial" w:cs="Arial"/>
          <w:sz w:val="24"/>
          <w:szCs w:val="24"/>
        </w:rPr>
        <w:t>等级</w:t>
      </w:r>
      <w:r>
        <w:rPr>
          <w:rFonts w:ascii="Arial" w:hAnsi="Arial" w:cs="Arial"/>
          <w:sz w:val="24"/>
          <w:szCs w:val="24"/>
        </w:rPr>
        <w:t>为特一级的钢筋混凝土构件</w:t>
      </w:r>
      <w:r>
        <w:rPr>
          <w:rFonts w:hint="eastAsia" w:ascii="Arial" w:hAnsi="Arial" w:cs="Arial"/>
          <w:sz w:val="24"/>
          <w:szCs w:val="24"/>
        </w:rPr>
        <w:t>，</w:t>
      </w:r>
      <w:r>
        <w:rPr>
          <w:rFonts w:ascii="Arial" w:hAnsi="Arial" w:cs="Arial"/>
          <w:sz w:val="24"/>
          <w:szCs w:val="24"/>
        </w:rPr>
        <w:t>除应符合一级抗震等级钢筋混凝土构件的所有设计要求外</w:t>
      </w:r>
      <w:r>
        <w:rPr>
          <w:rFonts w:hint="eastAsia" w:ascii="Arial" w:hAnsi="Arial" w:cs="Arial"/>
          <w:sz w:val="24"/>
          <w:szCs w:val="24"/>
        </w:rPr>
        <w:t>，</w:t>
      </w:r>
      <w:r>
        <w:rPr>
          <w:rFonts w:ascii="Arial" w:hAnsi="Arial" w:cs="Arial"/>
          <w:sz w:val="24"/>
          <w:szCs w:val="24"/>
        </w:rPr>
        <w:t>尚应满足下列规定</w:t>
      </w:r>
      <w:r>
        <w:rPr>
          <w:rFonts w:hint="eastAsia" w:ascii="Arial" w:hAnsi="Arial" w:cs="Arial"/>
          <w:sz w:val="24"/>
          <w:szCs w:val="24"/>
        </w:rPr>
        <w:t>：</w:t>
      </w:r>
    </w:p>
    <w:p>
      <w:pPr>
        <w:spacing w:line="360" w:lineRule="auto"/>
        <w:rPr>
          <w:rFonts w:ascii="Arial" w:hAnsi="Arial" w:cs="Arial"/>
          <w:sz w:val="24"/>
          <w:szCs w:val="24"/>
        </w:rPr>
      </w:pPr>
      <w:r>
        <w:rPr>
          <w:rFonts w:hint="eastAsia" w:ascii="Arial" w:hAnsi="Arial" w:cs="Arial"/>
          <w:sz w:val="24"/>
          <w:szCs w:val="24"/>
        </w:rPr>
        <w:t xml:space="preserve">     1 框架柱应符合下列要求：</w:t>
      </w:r>
    </w:p>
    <w:p>
      <w:pPr>
        <w:spacing w:line="360" w:lineRule="auto"/>
        <w:rPr>
          <w:rFonts w:ascii="Arial" w:hAnsi="Arial" w:cs="Arial"/>
          <w:sz w:val="24"/>
          <w:szCs w:val="24"/>
        </w:rPr>
      </w:pPr>
      <w:r>
        <w:rPr>
          <w:rFonts w:hint="eastAsia" w:ascii="Arial" w:hAnsi="Arial" w:cs="Arial"/>
          <w:sz w:val="24"/>
          <w:szCs w:val="24"/>
        </w:rPr>
        <w:t xml:space="preserve">        2) 柱端弯矩增大系数η</w:t>
      </w:r>
      <w:r>
        <w:rPr>
          <w:rFonts w:hint="eastAsia" w:ascii="Arial" w:hAnsi="Arial" w:cs="Arial"/>
          <w:sz w:val="24"/>
          <w:szCs w:val="24"/>
          <w:vertAlign w:val="subscript"/>
        </w:rPr>
        <w:t>c</w:t>
      </w:r>
      <w:r>
        <w:rPr>
          <w:rFonts w:hint="eastAsia" w:ascii="Arial" w:hAnsi="Arial" w:cs="Arial"/>
          <w:sz w:val="24"/>
          <w:szCs w:val="24"/>
        </w:rPr>
        <w:t>、柱端剪力增大系数η</w:t>
      </w:r>
      <w:r>
        <w:rPr>
          <w:rFonts w:hint="eastAsia" w:ascii="Arial" w:hAnsi="Arial" w:cs="Arial"/>
          <w:sz w:val="24"/>
          <w:szCs w:val="24"/>
          <w:vertAlign w:val="subscript"/>
        </w:rPr>
        <w:t>vc</w:t>
      </w:r>
      <w:r>
        <w:rPr>
          <w:rFonts w:hint="eastAsia" w:ascii="Arial" w:hAnsi="Arial" w:cs="Arial"/>
          <w:sz w:val="24"/>
          <w:szCs w:val="24"/>
        </w:rPr>
        <w:t>应增大20%；</w:t>
      </w:r>
    </w:p>
    <w:p>
      <w:pPr>
        <w:spacing w:line="360" w:lineRule="auto"/>
        <w:ind w:left="1260" w:hanging="1260" w:hangingChars="600"/>
        <w:rPr>
          <w:rFonts w:ascii="Arial" w:hAnsi="Arial" w:cs="Arial"/>
          <w:sz w:val="24"/>
          <w:szCs w:val="24"/>
        </w:rPr>
      </w:pPr>
      <w:r>
        <w:rPr>
          <w:rFonts w:hint="eastAsia"/>
        </w:rPr>
        <w:t xml:space="preserve">         </w:t>
      </w:r>
      <w:r>
        <w:rPr>
          <w:rFonts w:hint="eastAsia" w:ascii="Arial" w:hAnsi="Arial" w:cs="Arial"/>
          <w:sz w:val="24"/>
          <w:szCs w:val="24"/>
        </w:rPr>
        <w:t>3）钢筋混凝土柱柱端加密区最小配箍特征值λ</w:t>
      </w:r>
      <w:r>
        <w:rPr>
          <w:rFonts w:hint="eastAsia" w:ascii="Arial" w:hAnsi="Arial" w:cs="Arial"/>
          <w:sz w:val="24"/>
          <w:szCs w:val="24"/>
          <w:vertAlign w:val="subscript"/>
        </w:rPr>
        <w:t>v</w:t>
      </w:r>
      <w:r>
        <w:rPr>
          <w:rFonts w:hint="eastAsia" w:ascii="Arial" w:hAnsi="Arial" w:cs="Arial"/>
          <w:sz w:val="24"/>
          <w:szCs w:val="24"/>
        </w:rPr>
        <w:t>按本规程表6.3.9的数值增大0.02采用；全部纵向钢筋最小构造配筋百分率，中、边柱取1.4%、角柱取1.6%。</w:t>
      </w:r>
    </w:p>
    <w:p>
      <w:pPr>
        <w:spacing w:line="360" w:lineRule="auto"/>
        <w:ind w:left="1440" w:hanging="1440" w:hangingChars="600"/>
        <w:rPr>
          <w:rFonts w:ascii="Arial" w:hAnsi="Arial" w:cs="Arial"/>
          <w:sz w:val="24"/>
          <w:szCs w:val="24"/>
        </w:rPr>
      </w:pPr>
      <w:r>
        <w:rPr>
          <w:rFonts w:hint="eastAsia" w:ascii="Arial" w:hAnsi="Arial" w:cs="Arial"/>
          <w:sz w:val="24"/>
          <w:szCs w:val="24"/>
        </w:rPr>
        <w:t xml:space="preserve">     2 框架梁应符合下列要求：</w:t>
      </w:r>
    </w:p>
    <w:p>
      <w:pPr>
        <w:spacing w:line="360" w:lineRule="auto"/>
        <w:ind w:left="1440" w:hanging="1440"/>
        <w:rPr>
          <w:rFonts w:ascii="Arial" w:hAnsi="Arial" w:cs="Arial"/>
          <w:sz w:val="24"/>
          <w:szCs w:val="24"/>
        </w:rPr>
      </w:pPr>
      <w:r>
        <w:rPr>
          <w:rFonts w:hint="eastAsia" w:ascii="Arial" w:hAnsi="Arial" w:cs="Arial"/>
          <w:sz w:val="24"/>
          <w:szCs w:val="24"/>
        </w:rPr>
        <w:t xml:space="preserve">       1） 梁端剪力增大系数η</w:t>
      </w:r>
      <w:r>
        <w:rPr>
          <w:rFonts w:hint="eastAsia" w:ascii="Arial" w:hAnsi="Arial" w:cs="Arial"/>
          <w:sz w:val="24"/>
          <w:szCs w:val="24"/>
          <w:vertAlign w:val="subscript"/>
        </w:rPr>
        <w:t>vb</w:t>
      </w:r>
      <w:r>
        <w:rPr>
          <w:rFonts w:hint="eastAsia" w:ascii="Arial" w:hAnsi="Arial" w:cs="Arial"/>
          <w:sz w:val="24"/>
          <w:szCs w:val="24"/>
        </w:rPr>
        <w:t>应增大20%；</w:t>
      </w:r>
    </w:p>
    <w:p>
      <w:pPr>
        <w:spacing w:line="360" w:lineRule="auto"/>
        <w:ind w:left="1440" w:hanging="1440"/>
        <w:rPr>
          <w:rFonts w:ascii="Arial" w:hAnsi="Arial" w:cs="Arial"/>
          <w:sz w:val="24"/>
          <w:szCs w:val="24"/>
        </w:rPr>
      </w:pPr>
      <w:r>
        <w:rPr>
          <w:rFonts w:hint="eastAsia"/>
        </w:rPr>
        <w:t xml:space="preserve">        </w:t>
      </w:r>
      <w:r>
        <w:rPr>
          <w:rFonts w:hint="eastAsia" w:ascii="Arial" w:hAnsi="Arial" w:cs="Arial"/>
          <w:sz w:val="24"/>
          <w:szCs w:val="24"/>
        </w:rPr>
        <w:t>2）</w:t>
      </w:r>
      <w:r>
        <w:rPr>
          <w:rFonts w:hint="eastAsia"/>
        </w:rPr>
        <w:t xml:space="preserve"> </w:t>
      </w:r>
      <w:r>
        <w:rPr>
          <w:rFonts w:hint="eastAsia" w:ascii="Arial" w:hAnsi="Arial" w:cs="Arial"/>
          <w:sz w:val="24"/>
          <w:szCs w:val="24"/>
        </w:rPr>
        <w:t>梁端加密区箍筋最小面积配筋率应增大10%；</w:t>
      </w:r>
    </w:p>
    <w:p>
      <w:pPr>
        <w:spacing w:line="360" w:lineRule="auto"/>
        <w:ind w:left="1440" w:hanging="1440"/>
        <w:rPr>
          <w:rFonts w:ascii="Arial" w:hAnsi="Arial" w:cs="Arial"/>
          <w:sz w:val="24"/>
          <w:szCs w:val="24"/>
        </w:rPr>
      </w:pPr>
      <w:r>
        <w:rPr>
          <w:rFonts w:hint="eastAsia" w:ascii="Arial" w:hAnsi="Arial" w:cs="Arial"/>
          <w:sz w:val="24"/>
          <w:szCs w:val="24"/>
        </w:rPr>
        <w:t xml:space="preserve">     3 框支柱应符合下列要求：</w:t>
      </w:r>
    </w:p>
    <w:p>
      <w:pPr>
        <w:spacing w:line="360" w:lineRule="auto"/>
        <w:ind w:left="1440" w:hanging="1440"/>
        <w:rPr>
          <w:rFonts w:ascii="Arial" w:hAnsi="Arial" w:cs="Arial"/>
          <w:sz w:val="24"/>
          <w:szCs w:val="24"/>
        </w:rPr>
      </w:pPr>
      <w:r>
        <w:rPr>
          <w:rFonts w:hint="eastAsia" w:ascii="Arial" w:hAnsi="Arial" w:cs="Arial"/>
          <w:sz w:val="24"/>
          <w:szCs w:val="24"/>
        </w:rPr>
        <w:t xml:space="preserve">       1） 宜采用型钢混凝土柱、钢管混凝土柱；</w:t>
      </w:r>
    </w:p>
    <w:p>
      <w:pPr>
        <w:spacing w:line="360" w:lineRule="auto"/>
        <w:ind w:left="1440" w:hanging="1440"/>
        <w:rPr>
          <w:rFonts w:ascii="Arial" w:hAnsi="Arial" w:cs="Arial"/>
          <w:sz w:val="24"/>
          <w:szCs w:val="24"/>
        </w:rPr>
      </w:pPr>
      <w:r>
        <w:rPr>
          <w:rFonts w:hint="eastAsia"/>
        </w:rPr>
        <w:t xml:space="preserve">        </w:t>
      </w:r>
      <w:r>
        <w:rPr>
          <w:rFonts w:hint="eastAsia" w:ascii="Arial" w:hAnsi="Arial" w:cs="Arial"/>
          <w:sz w:val="24"/>
          <w:szCs w:val="24"/>
        </w:rPr>
        <w:t>2） 底层柱下端及转换成相连的柱上端的弯矩增大系数取1.8，其余柱端弯矩增大系数η</w:t>
      </w:r>
      <w:r>
        <w:rPr>
          <w:rFonts w:hint="eastAsia" w:ascii="Arial" w:hAnsi="Arial" w:cs="Arial"/>
          <w:sz w:val="24"/>
          <w:szCs w:val="24"/>
          <w:vertAlign w:val="subscript"/>
        </w:rPr>
        <w:t>c</w:t>
      </w:r>
      <w:r>
        <w:rPr>
          <w:rFonts w:hint="eastAsia" w:ascii="Arial" w:hAnsi="Arial" w:cs="Arial"/>
          <w:sz w:val="24"/>
          <w:szCs w:val="24"/>
        </w:rPr>
        <w:t>应增大20%；柱端剪力增大系数η</w:t>
      </w:r>
      <w:r>
        <w:rPr>
          <w:rFonts w:hint="eastAsia" w:ascii="Arial" w:hAnsi="Arial" w:cs="Arial"/>
          <w:sz w:val="24"/>
          <w:szCs w:val="24"/>
          <w:vertAlign w:val="subscript"/>
        </w:rPr>
        <w:t>vc</w:t>
      </w:r>
      <w:r>
        <w:rPr>
          <w:rFonts w:hint="eastAsia" w:ascii="Arial" w:hAnsi="Arial" w:cs="Arial"/>
          <w:sz w:val="24"/>
          <w:szCs w:val="24"/>
        </w:rPr>
        <w:t>应增大20%；地震作用产生的柱轴力增大系数取1.8，但计算柱轴压比时可不计该项增大；</w:t>
      </w:r>
    </w:p>
    <w:p>
      <w:pPr>
        <w:spacing w:line="360" w:lineRule="auto"/>
        <w:ind w:left="1440" w:hanging="1440"/>
        <w:rPr>
          <w:rFonts w:ascii="Arial" w:hAnsi="Arial" w:cs="Arial"/>
          <w:sz w:val="24"/>
          <w:szCs w:val="24"/>
        </w:rPr>
      </w:pPr>
      <w:r>
        <w:rPr>
          <w:rFonts w:hint="eastAsia" w:ascii="Arial" w:hAnsi="Arial" w:cs="Arial"/>
          <w:sz w:val="24"/>
          <w:szCs w:val="24"/>
        </w:rPr>
        <w:t xml:space="preserve">       3）  钢筋混凝土柱柱端加密区最小配箍特征值λ</w:t>
      </w:r>
      <w:r>
        <w:rPr>
          <w:rFonts w:hint="eastAsia" w:ascii="Arial" w:hAnsi="Arial" w:cs="Arial"/>
          <w:sz w:val="24"/>
          <w:szCs w:val="24"/>
          <w:vertAlign w:val="subscript"/>
        </w:rPr>
        <w:t>v</w:t>
      </w:r>
      <w:r>
        <w:rPr>
          <w:rFonts w:hint="eastAsia" w:ascii="Arial" w:hAnsi="Arial" w:cs="Arial"/>
          <w:sz w:val="24"/>
          <w:szCs w:val="24"/>
        </w:rPr>
        <w:t>按本规程表6.3.9的数值增大0.03采用；且箍筋体积配箍率不应小于1.6%；全部纵向钢筋最小构造配筋百分率取1.6%。</w:t>
      </w:r>
    </w:p>
    <w:p>
      <w:pPr>
        <w:spacing w:line="360" w:lineRule="auto"/>
        <w:ind w:left="1440" w:hanging="1440"/>
        <w:rPr>
          <w:rFonts w:ascii="Arial" w:hAnsi="Arial" w:cs="Arial"/>
          <w:sz w:val="24"/>
          <w:szCs w:val="24"/>
        </w:rPr>
      </w:pPr>
      <w:r>
        <w:rPr>
          <w:rFonts w:hint="eastAsia" w:ascii="Arial" w:hAnsi="Arial" w:cs="Arial"/>
          <w:sz w:val="24"/>
          <w:szCs w:val="24"/>
        </w:rPr>
        <w:t xml:space="preserve">        4 抗震墙、筒体墙应符合下列要求：</w:t>
      </w:r>
    </w:p>
    <w:p>
      <w:pPr>
        <w:spacing w:line="360" w:lineRule="auto"/>
        <w:ind w:left="1440" w:hanging="1440"/>
        <w:rPr>
          <w:rFonts w:ascii="Arial" w:hAnsi="Arial" w:cs="Arial"/>
          <w:sz w:val="24"/>
          <w:szCs w:val="24"/>
        </w:rPr>
      </w:pPr>
      <w:r>
        <w:rPr>
          <w:rFonts w:hint="eastAsia" w:ascii="Arial" w:hAnsi="Arial" w:cs="Arial"/>
          <w:sz w:val="24"/>
          <w:szCs w:val="24"/>
        </w:rPr>
        <w:t xml:space="preserve">          1）底部加强部位的弯矩设计值应乘以1.1的增大系数，其他部位的弯矩设计值应乘以1.3的增大系数；底部加强部位的剪力设计值，应按考虑地震作用组合的剪力计算值的1.9倍采用，其他部位的剪力设计值，应按考虑地震作用组合的剪力计算值的1.4倍采用；</w:t>
      </w:r>
    </w:p>
    <w:p>
      <w:pPr>
        <w:spacing w:line="360" w:lineRule="auto"/>
        <w:ind w:left="1648" w:hanging="1648" w:hangingChars="785"/>
        <w:rPr>
          <w:rFonts w:ascii="Arial" w:hAnsi="Arial" w:cs="Arial"/>
          <w:sz w:val="24"/>
          <w:szCs w:val="24"/>
        </w:rPr>
      </w:pPr>
      <w:r>
        <w:rPr>
          <w:rFonts w:hint="eastAsia"/>
        </w:rPr>
        <w:t xml:space="preserve">           </w:t>
      </w:r>
      <w:r>
        <w:rPr>
          <w:rFonts w:hint="eastAsia" w:ascii="Arial" w:hAnsi="Arial" w:cs="Arial"/>
          <w:sz w:val="24"/>
          <w:szCs w:val="24"/>
        </w:rPr>
        <w:t xml:space="preserve"> 2）一般部位的水平和竖向分布钢筋最小配筋率应取为0.35%，底部加强部位的水平和竖向分布钢筋的最小配筋率应取为0.4%；</w:t>
      </w:r>
    </w:p>
    <w:p>
      <w:pPr>
        <w:spacing w:line="360" w:lineRule="auto"/>
        <w:ind w:left="1680" w:hanging="1680" w:hangingChars="700"/>
        <w:rPr>
          <w:rFonts w:ascii="Arial" w:hAnsi="Arial" w:cs="Arial"/>
          <w:sz w:val="24"/>
          <w:szCs w:val="24"/>
        </w:rPr>
      </w:pPr>
      <w:r>
        <w:rPr>
          <w:rFonts w:hint="eastAsia" w:ascii="Arial" w:hAnsi="Arial" w:cs="Arial"/>
          <w:sz w:val="24"/>
          <w:szCs w:val="24"/>
        </w:rPr>
        <w:t xml:space="preserve">           3）约束边缘构件纵向钢筋最小构造配筋率应取为1.4%，配箍特征值宜增大20%；构造边缘构件纵向钢筋的配筋率不应小于1.2%；</w:t>
      </w:r>
    </w:p>
    <w:p>
      <w:pPr>
        <w:spacing w:line="360" w:lineRule="auto"/>
        <w:ind w:left="1680" w:hanging="1680" w:hangingChars="700"/>
        <w:rPr>
          <w:rFonts w:ascii="Arial" w:hAnsi="Arial" w:cs="Arial"/>
          <w:sz w:val="24"/>
          <w:szCs w:val="24"/>
        </w:rPr>
      </w:pPr>
      <w:r>
        <w:rPr>
          <w:rFonts w:hint="eastAsia" w:ascii="Arial" w:hAnsi="Arial" w:cs="Arial"/>
          <w:sz w:val="24"/>
          <w:szCs w:val="24"/>
        </w:rPr>
        <w:t xml:space="preserve">           4）框支抗震墙结构的落地抗震墙底部加强部位边缘构件应配置型钢，型钢宜向上、下各延伸一层，配有型钢的钢筋混凝土抗震墙的计算和构造要求应符合《型钢混凝土组合结构技术规程》（JGJ138）和《高层建筑混凝土结构技术规程》（JGJ3）的有关规定。</w:t>
      </w:r>
    </w:p>
    <w:p>
      <w:pPr>
        <w:spacing w:line="360" w:lineRule="auto"/>
        <w:ind w:left="1680" w:hanging="1680" w:hangingChars="700"/>
      </w:pPr>
      <w:r>
        <w:rPr>
          <w:rFonts w:hint="eastAsia" w:ascii="Arial" w:hAnsi="Arial" w:cs="Arial"/>
          <w:sz w:val="24"/>
          <w:szCs w:val="24"/>
        </w:rPr>
        <w:t xml:space="preserve">     </w:t>
      </w:r>
      <w:bookmarkStart w:id="38" w:name="_GoBack"/>
      <w:bookmarkEnd w:id="38"/>
      <w:r>
        <w:rPr>
          <w:rFonts w:hint="eastAsia" w:ascii="Arial" w:hAnsi="Arial" w:cs="Arial"/>
          <w:sz w:val="24"/>
          <w:szCs w:val="24"/>
        </w:rPr>
        <w:t>5 连梁的要求同一级。</w:t>
      </w:r>
    </w:p>
    <w:p>
      <w:pPr>
        <w:spacing w:line="360" w:lineRule="auto"/>
        <w:rPr>
          <w:rFonts w:ascii="Arial" w:hAnsi="Arial" w:cs="Arial"/>
          <w:sz w:val="24"/>
          <w:szCs w:val="24"/>
        </w:rPr>
      </w:pPr>
      <w:r>
        <w:rPr>
          <w:rFonts w:ascii="Arial" w:hAnsi="Arial" w:cs="Arial"/>
          <w:sz w:val="24"/>
          <w:szCs w:val="24"/>
        </w:rPr>
        <w:t>6.2.12 部分框支抗震墙结构的框支柱尚应满足下列要求：</w:t>
      </w:r>
    </w:p>
    <w:p>
      <w:pPr>
        <w:spacing w:line="360" w:lineRule="auto"/>
        <w:ind w:firstLine="480" w:firstLineChars="200"/>
        <w:rPr>
          <w:rFonts w:ascii="Arial" w:hAnsi="Arial" w:cs="Arial"/>
          <w:kern w:val="0"/>
          <w:sz w:val="24"/>
          <w:szCs w:val="24"/>
        </w:rPr>
      </w:pPr>
      <w:r>
        <w:rPr>
          <w:rFonts w:ascii="Arial" w:hAnsi="Arial" w:cs="Arial"/>
          <w:kern w:val="0"/>
          <w:sz w:val="24"/>
          <w:szCs w:val="24"/>
        </w:rPr>
        <w:t>1 每层框支柱的数目不多于10根时，当底部框支层为1层~2层时，每根柱所受的剪力应至少取结构基底剪力的2%；当底部框支层为3层及3层以上时，每根柱所受的剪力应至少取结构基底剪力的3%。</w:t>
      </w:r>
    </w:p>
    <w:p>
      <w:pPr>
        <w:spacing w:line="360" w:lineRule="auto"/>
        <w:ind w:firstLine="480" w:firstLineChars="200"/>
        <w:rPr>
          <w:rFonts w:ascii="Arial" w:hAnsi="Arial" w:cs="Arial"/>
          <w:kern w:val="0"/>
          <w:sz w:val="24"/>
          <w:szCs w:val="24"/>
        </w:rPr>
      </w:pPr>
      <w:r>
        <w:rPr>
          <w:rFonts w:ascii="Arial" w:hAnsi="Arial" w:cs="Arial"/>
          <w:kern w:val="0"/>
          <w:sz w:val="24"/>
          <w:szCs w:val="24"/>
        </w:rPr>
        <w:t>2 每层框支柱的数目多于10根时，当底部框支层为1层~2层时，每层框支柱承受剪力之和应至少取结构基底剪力的20%；当底部框支层为3层及3层以上时，每层框支柱承受剪力之和应至少取结构基底剪力的30%。</w:t>
      </w:r>
    </w:p>
    <w:p>
      <w:pPr>
        <w:spacing w:line="360" w:lineRule="auto"/>
        <w:ind w:firstLine="480" w:firstLineChars="200"/>
        <w:rPr>
          <w:rFonts w:ascii="Arial" w:hAnsi="Arial" w:cs="Arial"/>
          <w:kern w:val="0"/>
          <w:sz w:val="24"/>
          <w:szCs w:val="24"/>
        </w:rPr>
      </w:pPr>
      <w:r>
        <w:rPr>
          <w:rFonts w:ascii="Arial" w:hAnsi="Arial" w:cs="Arial"/>
          <w:kern w:val="0"/>
          <w:sz w:val="24"/>
          <w:szCs w:val="24"/>
        </w:rPr>
        <w:t>3 一、二级框支柱由地震作用引起的附加轴力应分别乘以增大系数1.5、1.2；计算轴压比时，该附加轴力可不乘以增大系数。</w:t>
      </w:r>
    </w:p>
    <w:p>
      <w:pPr>
        <w:spacing w:line="360" w:lineRule="auto"/>
        <w:ind w:firstLine="480" w:firstLineChars="200"/>
        <w:rPr>
          <w:rFonts w:ascii="Arial" w:hAnsi="Arial" w:cs="Arial"/>
          <w:kern w:val="0"/>
          <w:sz w:val="24"/>
          <w:szCs w:val="24"/>
        </w:rPr>
      </w:pPr>
      <w:r>
        <w:rPr>
          <w:rFonts w:ascii="Arial" w:hAnsi="Arial" w:cs="Arial"/>
          <w:kern w:val="0"/>
          <w:sz w:val="24"/>
          <w:szCs w:val="24"/>
        </w:rPr>
        <w:t>4 一、二级框支柱的顶层柱上端和底层柱下端，其组合的弯矩设计值应分别乘以增大系数1.5和1.25，框支柱的中间节点应满足本规程第6.2.4条的要求。</w:t>
      </w:r>
    </w:p>
    <w:p>
      <w:pPr>
        <w:spacing w:line="360" w:lineRule="auto"/>
        <w:rPr>
          <w:rFonts w:ascii="Arial" w:hAnsi="Arial" w:cs="Arial"/>
          <w:sz w:val="24"/>
          <w:szCs w:val="24"/>
        </w:rPr>
      </w:pPr>
      <w:r>
        <w:rPr>
          <w:rFonts w:ascii="Arial" w:hAnsi="Arial" w:cs="Arial"/>
          <w:sz w:val="24"/>
          <w:szCs w:val="24"/>
        </w:rPr>
        <w:t>6.2.15 部分框支抗震墙结构的框支柱顶层楼盖应符合本规程附录E.1节的规定。</w:t>
      </w:r>
    </w:p>
    <w:p>
      <w:pPr>
        <w:spacing w:line="360" w:lineRule="auto"/>
        <w:rPr>
          <w:rFonts w:ascii="Arial" w:hAnsi="Arial" w:cs="Arial"/>
          <w:sz w:val="24"/>
          <w:szCs w:val="24"/>
        </w:rPr>
      </w:pPr>
      <w:r>
        <w:rPr>
          <w:rFonts w:ascii="Arial" w:hAnsi="Arial" w:cs="Arial"/>
          <w:sz w:val="24"/>
          <w:szCs w:val="24"/>
        </w:rPr>
        <w:t>6.2.16 钢筋混凝土结构抗震计算时，尚应符合下列要求：</w:t>
      </w:r>
    </w:p>
    <w:p>
      <w:pPr>
        <w:spacing w:line="360" w:lineRule="auto"/>
        <w:ind w:firstLine="480" w:firstLineChars="200"/>
        <w:rPr>
          <w:rFonts w:ascii="Arial" w:hAnsi="Arial" w:cs="Arial"/>
          <w:kern w:val="0"/>
          <w:sz w:val="24"/>
          <w:szCs w:val="24"/>
        </w:rPr>
      </w:pPr>
      <w:r>
        <w:rPr>
          <w:rFonts w:ascii="Arial" w:hAnsi="Arial" w:cs="Arial"/>
          <w:kern w:val="0"/>
          <w:sz w:val="24"/>
          <w:szCs w:val="24"/>
        </w:rPr>
        <w:t>1 侧向刚度沿竖向分布基本均匀的框架-抗震墙结构和框架-核心筒结构，任一层框架部分承担的剪力值，不应小于结构底部总地震剪力的20%和按框架-抗震墙结构、框架-核心筒结构计算的框架部分各楼层地震剪力中最大值1.5倍二者的较小值。</w:t>
      </w:r>
    </w:p>
    <w:p>
      <w:pPr>
        <w:spacing w:line="360" w:lineRule="auto"/>
        <w:ind w:firstLine="480" w:firstLineChars="200"/>
        <w:rPr>
          <w:rFonts w:ascii="Arial" w:hAnsi="Arial" w:cs="Arial"/>
          <w:kern w:val="0"/>
          <w:sz w:val="24"/>
          <w:szCs w:val="24"/>
        </w:rPr>
      </w:pPr>
      <w:r>
        <w:rPr>
          <w:rFonts w:ascii="Arial" w:hAnsi="Arial" w:cs="Arial"/>
          <w:kern w:val="0"/>
          <w:sz w:val="24"/>
          <w:szCs w:val="24"/>
        </w:rPr>
        <w:t>4</w:t>
      </w:r>
      <w:r>
        <w:rPr>
          <w:rFonts w:hint="eastAsia" w:ascii="Arial" w:hAnsi="Arial" w:cs="Arial"/>
          <w:kern w:val="0"/>
          <w:sz w:val="24"/>
          <w:szCs w:val="24"/>
        </w:rPr>
        <w:t xml:space="preserve"> 设置少量抗震墙的框架结构，其框架部分的地震剪力值，宜采用框架结构模型和框架-抗震墙结构模型二者计算结果的较大值。</w:t>
      </w:r>
    </w:p>
    <w:p>
      <w:pPr>
        <w:spacing w:line="360" w:lineRule="auto"/>
        <w:rPr>
          <w:rFonts w:ascii="Arial" w:hAnsi="Arial" w:cs="Arial"/>
          <w:sz w:val="24"/>
          <w:szCs w:val="24"/>
        </w:rPr>
      </w:pPr>
      <w:r>
        <w:rPr>
          <w:rFonts w:ascii="Arial" w:hAnsi="Arial" w:cs="Arial"/>
          <w:sz w:val="24"/>
          <w:szCs w:val="24"/>
        </w:rPr>
        <w:t>6.3.2 梁宽大于柱宽的扁梁应符合下列要求：</w:t>
      </w:r>
    </w:p>
    <w:p>
      <w:pPr>
        <w:spacing w:line="360" w:lineRule="auto"/>
        <w:ind w:firstLine="480" w:firstLineChars="200"/>
        <w:rPr>
          <w:rFonts w:ascii="Arial" w:hAnsi="Arial" w:cs="Arial"/>
          <w:kern w:val="0"/>
          <w:sz w:val="24"/>
          <w:szCs w:val="24"/>
        </w:rPr>
      </w:pPr>
      <w:r>
        <w:rPr>
          <w:rFonts w:ascii="Arial" w:hAnsi="Arial" w:cs="Arial"/>
          <w:kern w:val="0"/>
          <w:sz w:val="24"/>
          <w:szCs w:val="24"/>
        </w:rPr>
        <w:t>1 采用扁梁的楼、屋盖应现浇，梁中线宜与柱中线重合，扁梁应双向布置。</w:t>
      </w:r>
    </w:p>
    <w:p>
      <w:pPr>
        <w:spacing w:line="360" w:lineRule="auto"/>
        <w:ind w:firstLine="480" w:firstLineChars="200"/>
        <w:rPr>
          <w:rFonts w:ascii="Arial" w:hAnsi="Arial" w:cs="Arial"/>
          <w:kern w:val="0"/>
          <w:sz w:val="24"/>
          <w:szCs w:val="24"/>
        </w:rPr>
      </w:pPr>
      <w:r>
        <w:rPr>
          <w:rFonts w:ascii="Arial" w:hAnsi="Arial" w:cs="Arial"/>
          <w:kern w:val="0"/>
          <w:sz w:val="24"/>
          <w:szCs w:val="24"/>
        </w:rPr>
        <w:t>2 扁梁的截面尺寸应符合下列要求，并应满足现行有关规范对挠度和裂缝宽度的规定：</w:t>
      </w:r>
    </w:p>
    <w:p>
      <w:pPr>
        <w:spacing w:line="360" w:lineRule="auto"/>
        <w:jc w:val="center"/>
        <w:rPr>
          <w:rFonts w:ascii="Arial" w:hAnsi="Arial" w:cs="Arial"/>
          <w:kern w:val="0"/>
          <w:sz w:val="24"/>
          <w:szCs w:val="24"/>
        </w:rPr>
      </w:pPr>
      <w:r>
        <w:rPr>
          <w:rFonts w:ascii="Arial" w:hAnsi="Arial" w:cs="Arial"/>
          <w:kern w:val="0"/>
          <w:sz w:val="24"/>
          <w:szCs w:val="24"/>
        </w:rPr>
        <w:t>b</w:t>
      </w:r>
      <w:r>
        <w:rPr>
          <w:rFonts w:ascii="Arial" w:hAnsi="Arial" w:cs="Arial"/>
          <w:kern w:val="0"/>
          <w:sz w:val="24"/>
          <w:szCs w:val="24"/>
          <w:vertAlign w:val="subscript"/>
        </w:rPr>
        <w:t>b</w:t>
      </w:r>
      <w:r>
        <w:rPr>
          <w:rFonts w:ascii="Arial" w:hAnsi="Arial" w:cs="Arial"/>
          <w:kern w:val="0"/>
          <w:sz w:val="24"/>
          <w:szCs w:val="24"/>
        </w:rPr>
        <w:t>≤2b</w:t>
      </w:r>
      <w:r>
        <w:rPr>
          <w:rFonts w:ascii="Arial" w:hAnsi="Arial" w:cs="Arial"/>
          <w:kern w:val="0"/>
          <w:sz w:val="24"/>
          <w:szCs w:val="24"/>
          <w:vertAlign w:val="subscript"/>
        </w:rPr>
        <w:t>c</w:t>
      </w:r>
      <w:r>
        <w:rPr>
          <w:rFonts w:ascii="Arial" w:hAnsi="Arial" w:cs="Arial"/>
          <w:kern w:val="0"/>
          <w:sz w:val="24"/>
          <w:szCs w:val="24"/>
        </w:rPr>
        <w:t xml:space="preserve">                  （6.3.2-1）</w:t>
      </w:r>
    </w:p>
    <w:p>
      <w:pPr>
        <w:spacing w:line="360" w:lineRule="auto"/>
        <w:jc w:val="center"/>
        <w:rPr>
          <w:rFonts w:ascii="Arial" w:hAnsi="Arial" w:cs="Arial"/>
          <w:kern w:val="0"/>
          <w:sz w:val="24"/>
          <w:szCs w:val="24"/>
        </w:rPr>
      </w:pPr>
      <w:r>
        <w:rPr>
          <w:rFonts w:ascii="Arial" w:hAnsi="Arial" w:cs="Arial"/>
          <w:kern w:val="0"/>
          <w:sz w:val="24"/>
          <w:szCs w:val="24"/>
        </w:rPr>
        <w:t>b</w:t>
      </w:r>
      <w:r>
        <w:rPr>
          <w:rFonts w:ascii="Arial" w:hAnsi="Arial" w:cs="Arial"/>
          <w:kern w:val="0"/>
          <w:sz w:val="24"/>
          <w:szCs w:val="24"/>
          <w:vertAlign w:val="subscript"/>
        </w:rPr>
        <w:t>b</w:t>
      </w:r>
      <w:r>
        <w:rPr>
          <w:rFonts w:ascii="Arial" w:hAnsi="Arial" w:cs="Arial"/>
          <w:kern w:val="0"/>
          <w:sz w:val="24"/>
          <w:szCs w:val="24"/>
        </w:rPr>
        <w:t>≤b</w:t>
      </w:r>
      <w:r>
        <w:rPr>
          <w:rFonts w:ascii="Arial" w:hAnsi="Arial" w:cs="Arial"/>
          <w:kern w:val="0"/>
          <w:sz w:val="24"/>
          <w:szCs w:val="24"/>
          <w:vertAlign w:val="subscript"/>
        </w:rPr>
        <w:t>c</w:t>
      </w:r>
      <w:r>
        <w:rPr>
          <w:rFonts w:ascii="Arial" w:hAnsi="Arial" w:cs="Arial"/>
          <w:kern w:val="0"/>
          <w:sz w:val="24"/>
          <w:szCs w:val="24"/>
        </w:rPr>
        <w:t>+h</w:t>
      </w:r>
      <w:r>
        <w:rPr>
          <w:rFonts w:ascii="Arial" w:hAnsi="Arial" w:cs="Arial"/>
          <w:kern w:val="0"/>
          <w:sz w:val="24"/>
          <w:szCs w:val="24"/>
          <w:vertAlign w:val="subscript"/>
        </w:rPr>
        <w:t xml:space="preserve">b </w:t>
      </w:r>
      <w:r>
        <w:rPr>
          <w:rFonts w:ascii="Arial" w:hAnsi="Arial" w:cs="Arial"/>
          <w:kern w:val="0"/>
          <w:sz w:val="24"/>
          <w:szCs w:val="24"/>
        </w:rPr>
        <w:t xml:space="preserve">               （6.3.2-2）</w:t>
      </w:r>
    </w:p>
    <w:p>
      <w:pPr>
        <w:spacing w:line="360" w:lineRule="auto"/>
        <w:jc w:val="center"/>
        <w:rPr>
          <w:rFonts w:ascii="Arial" w:hAnsi="Arial" w:cs="Arial"/>
          <w:kern w:val="0"/>
          <w:sz w:val="24"/>
          <w:szCs w:val="24"/>
        </w:rPr>
      </w:pPr>
      <w:r>
        <w:rPr>
          <w:rFonts w:ascii="Arial" w:hAnsi="Arial" w:cs="Arial"/>
          <w:kern w:val="0"/>
          <w:sz w:val="24"/>
          <w:szCs w:val="24"/>
        </w:rPr>
        <w:t>h</w:t>
      </w:r>
      <w:r>
        <w:rPr>
          <w:rFonts w:ascii="Arial" w:hAnsi="Arial" w:cs="Arial"/>
          <w:kern w:val="0"/>
          <w:sz w:val="24"/>
          <w:szCs w:val="24"/>
          <w:vertAlign w:val="subscript"/>
        </w:rPr>
        <w:t>b</w:t>
      </w:r>
      <w:r>
        <w:rPr>
          <w:rFonts w:ascii="Arial" w:hAnsi="Arial" w:cs="Arial"/>
          <w:kern w:val="0"/>
          <w:sz w:val="24"/>
          <w:szCs w:val="24"/>
        </w:rPr>
        <w:t>≥16d                 （6.3.2-3）</w:t>
      </w:r>
    </w:p>
    <w:p>
      <w:pPr>
        <w:spacing w:line="360" w:lineRule="auto"/>
        <w:ind w:firstLine="480" w:firstLineChars="200"/>
        <w:rPr>
          <w:rFonts w:ascii="Arial" w:hAnsi="Arial" w:cs="Arial"/>
          <w:kern w:val="0"/>
          <w:sz w:val="24"/>
          <w:szCs w:val="24"/>
        </w:rPr>
      </w:pPr>
      <w:r>
        <w:rPr>
          <w:rFonts w:ascii="Arial" w:hAnsi="Arial" w:cs="Arial"/>
          <w:kern w:val="0"/>
          <w:sz w:val="24"/>
          <w:szCs w:val="24"/>
        </w:rPr>
        <w:t>式中：b</w:t>
      </w:r>
      <w:r>
        <w:rPr>
          <w:rFonts w:ascii="Arial" w:hAnsi="Arial" w:cs="Arial"/>
          <w:kern w:val="0"/>
          <w:sz w:val="24"/>
          <w:szCs w:val="24"/>
          <w:vertAlign w:val="subscript"/>
        </w:rPr>
        <w:t>c</w:t>
      </w:r>
      <w:r>
        <w:rPr>
          <w:rFonts w:ascii="Arial" w:hAnsi="Arial" w:cs="Arial"/>
          <w:kern w:val="0"/>
          <w:sz w:val="24"/>
          <w:szCs w:val="24"/>
        </w:rPr>
        <w:t>——柱截面宽度，圆形截面取柱直径的0.8倍；</w:t>
      </w:r>
    </w:p>
    <w:p>
      <w:pPr>
        <w:spacing w:line="360" w:lineRule="auto"/>
        <w:ind w:left="735" w:leftChars="350" w:firstLine="480" w:firstLineChars="200"/>
        <w:rPr>
          <w:rFonts w:ascii="Arial" w:hAnsi="Arial" w:cs="Arial"/>
          <w:kern w:val="0"/>
          <w:sz w:val="24"/>
          <w:szCs w:val="24"/>
        </w:rPr>
      </w:pPr>
      <w:r>
        <w:rPr>
          <w:rFonts w:ascii="Arial" w:hAnsi="Arial" w:cs="Arial"/>
          <w:kern w:val="0"/>
          <w:sz w:val="24"/>
          <w:szCs w:val="24"/>
        </w:rPr>
        <w:t>b</w:t>
      </w:r>
      <w:r>
        <w:rPr>
          <w:rFonts w:ascii="Arial" w:hAnsi="Arial" w:cs="Arial"/>
          <w:kern w:val="0"/>
          <w:sz w:val="24"/>
          <w:szCs w:val="24"/>
          <w:vertAlign w:val="subscript"/>
        </w:rPr>
        <w:t>b</w:t>
      </w:r>
      <w:r>
        <w:rPr>
          <w:rFonts w:ascii="Arial" w:hAnsi="Arial" w:cs="Arial"/>
          <w:kern w:val="0"/>
          <w:sz w:val="24"/>
          <w:szCs w:val="24"/>
        </w:rPr>
        <w:t>、h</w:t>
      </w:r>
      <w:r>
        <w:rPr>
          <w:rFonts w:ascii="Arial" w:hAnsi="Arial" w:cs="Arial"/>
          <w:kern w:val="0"/>
          <w:sz w:val="24"/>
          <w:szCs w:val="24"/>
          <w:vertAlign w:val="subscript"/>
        </w:rPr>
        <w:t>b</w:t>
      </w:r>
      <w:r>
        <w:rPr>
          <w:rFonts w:ascii="Arial" w:hAnsi="Arial" w:cs="Arial"/>
          <w:kern w:val="0"/>
          <w:sz w:val="24"/>
          <w:szCs w:val="24"/>
        </w:rPr>
        <w:t>——分别为梁截面宽度和高度；</w:t>
      </w:r>
    </w:p>
    <w:p>
      <w:pPr>
        <w:spacing w:line="360" w:lineRule="auto"/>
        <w:ind w:left="735" w:leftChars="350" w:firstLine="480" w:firstLineChars="200"/>
        <w:rPr>
          <w:rFonts w:ascii="Arial" w:hAnsi="Arial" w:cs="Arial"/>
          <w:kern w:val="0"/>
          <w:sz w:val="24"/>
          <w:szCs w:val="24"/>
        </w:rPr>
      </w:pPr>
      <w:r>
        <w:rPr>
          <w:rFonts w:ascii="Arial" w:hAnsi="Arial" w:cs="Arial"/>
          <w:kern w:val="0"/>
          <w:sz w:val="24"/>
          <w:szCs w:val="24"/>
        </w:rPr>
        <w:t>d——柱纵筋直径。</w:t>
      </w:r>
    </w:p>
    <w:p>
      <w:pPr>
        <w:spacing w:line="360" w:lineRule="auto"/>
        <w:rPr>
          <w:rFonts w:ascii="Arial" w:hAnsi="Arial" w:cs="Arial"/>
          <w:sz w:val="24"/>
          <w:szCs w:val="24"/>
        </w:rPr>
      </w:pPr>
      <w:r>
        <w:rPr>
          <w:rFonts w:ascii="Arial" w:hAnsi="Arial" w:cs="Arial"/>
          <w:sz w:val="24"/>
          <w:szCs w:val="24"/>
        </w:rPr>
        <w:t>6.3.6 柱轴压比不宜超过表6.3.6的规定</w:t>
      </w:r>
      <w:r>
        <w:rPr>
          <w:rFonts w:hint="eastAsia" w:ascii="Arial" w:hAnsi="Arial" w:cs="Arial"/>
          <w:sz w:val="24"/>
          <w:szCs w:val="24"/>
        </w:rPr>
        <w:t>，</w:t>
      </w:r>
      <w:r>
        <w:rPr>
          <w:rFonts w:ascii="Arial" w:hAnsi="Arial" w:cs="Arial"/>
          <w:sz w:val="24"/>
          <w:szCs w:val="24"/>
        </w:rPr>
        <w:t>较高的高层建筑，柱轴压比限值应适当减小。</w:t>
      </w:r>
    </w:p>
    <w:p>
      <w:pPr>
        <w:spacing w:line="360" w:lineRule="auto"/>
        <w:jc w:val="center"/>
      </w:pPr>
      <w:r>
        <w:drawing>
          <wp:inline distT="0" distB="0" distL="114300" distR="114300">
            <wp:extent cx="4951730" cy="2164080"/>
            <wp:effectExtent l="0" t="0" r="1270" b="7620"/>
            <wp:docPr id="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true"/>
                    </pic:cNvPicPr>
                  </pic:nvPicPr>
                  <pic:blipFill>
                    <a:blip r:embed="rId48"/>
                    <a:stretch>
                      <a:fillRect/>
                    </a:stretch>
                  </pic:blipFill>
                  <pic:spPr>
                    <a:xfrm>
                      <a:off x="0" y="0"/>
                      <a:ext cx="4951730" cy="2164080"/>
                    </a:xfrm>
                    <a:prstGeom prst="rect">
                      <a:avLst/>
                    </a:prstGeom>
                    <a:noFill/>
                    <a:ln>
                      <a:noFill/>
                    </a:ln>
                  </pic:spPr>
                </pic:pic>
              </a:graphicData>
            </a:graphic>
          </wp:inline>
        </w:drawing>
      </w:r>
    </w:p>
    <w:p>
      <w:pPr>
        <w:widowControl/>
        <w:spacing w:line="360" w:lineRule="auto"/>
        <w:ind w:left="360" w:right="420" w:rightChars="200" w:hanging="360" w:hangingChars="200"/>
        <w:rPr>
          <w:rFonts w:ascii="Arial" w:hAnsi="Arial" w:cs="Arial"/>
          <w:sz w:val="18"/>
          <w:szCs w:val="18"/>
        </w:rPr>
      </w:pPr>
      <w:r>
        <w:rPr>
          <w:rFonts w:ascii="Arial" w:hAnsi="Arial" w:cs="Arial"/>
          <w:color w:val="000000"/>
          <w:kern w:val="0"/>
          <w:sz w:val="18"/>
          <w:szCs w:val="18"/>
          <w:lang w:bidi="ar"/>
        </w:rPr>
        <w:t>注：1.  轴压比指柱组合的轴压力设计值与柱的全截面面积和混凝土轴心抗压强度设计值乘积之比值</w:t>
      </w:r>
      <w:r>
        <w:rPr>
          <w:rFonts w:hint="eastAsia" w:ascii="Arial" w:hAnsi="Arial" w:cs="Arial"/>
          <w:color w:val="000000"/>
          <w:kern w:val="0"/>
          <w:sz w:val="18"/>
          <w:szCs w:val="18"/>
          <w:lang w:bidi="ar"/>
        </w:rPr>
        <w:t>；</w:t>
      </w:r>
      <w:r>
        <w:rPr>
          <w:rFonts w:ascii="Arial" w:hAnsi="Arial" w:cs="Arial"/>
          <w:color w:val="000000"/>
          <w:kern w:val="0"/>
          <w:sz w:val="18"/>
          <w:szCs w:val="18"/>
          <w:lang w:bidi="ar"/>
        </w:rPr>
        <w:t>对本规程规定不进行地震作用计算的结构</w:t>
      </w:r>
      <w:r>
        <w:rPr>
          <w:rFonts w:hint="eastAsia" w:ascii="Arial" w:hAnsi="Arial" w:cs="Arial"/>
          <w:color w:val="000000"/>
          <w:kern w:val="0"/>
          <w:sz w:val="18"/>
          <w:szCs w:val="18"/>
          <w:lang w:bidi="ar"/>
        </w:rPr>
        <w:t>，</w:t>
      </w:r>
      <w:r>
        <w:rPr>
          <w:rFonts w:ascii="Arial" w:hAnsi="Arial" w:cs="Arial"/>
          <w:color w:val="000000"/>
          <w:kern w:val="0"/>
          <w:sz w:val="18"/>
          <w:szCs w:val="18"/>
          <w:lang w:bidi="ar"/>
        </w:rPr>
        <w:t xml:space="preserve">可取无地震作用组合的轴力设计值计算； </w:t>
      </w:r>
    </w:p>
    <w:p>
      <w:pPr>
        <w:widowControl/>
        <w:numPr>
          <w:ilvl w:val="0"/>
          <w:numId w:val="13"/>
        </w:numPr>
        <w:spacing w:line="360" w:lineRule="auto"/>
        <w:ind w:left="360" w:right="420" w:rightChars="200" w:hanging="360" w:hangingChars="200"/>
        <w:rPr>
          <w:rFonts w:ascii="Arial" w:hAnsi="Arial" w:cs="Arial"/>
          <w:color w:val="000000"/>
          <w:kern w:val="0"/>
          <w:sz w:val="18"/>
          <w:szCs w:val="18"/>
          <w:lang w:bidi="ar"/>
        </w:rPr>
      </w:pPr>
      <w:r>
        <w:rPr>
          <w:rFonts w:ascii="Arial" w:hAnsi="Arial" w:cs="Arial"/>
          <w:color w:val="000000"/>
          <w:kern w:val="0"/>
          <w:sz w:val="18"/>
          <w:szCs w:val="18"/>
          <w:lang w:bidi="ar"/>
        </w:rPr>
        <w:t>表内限值适用于剪跨比大于2、混凝土强度等级不高于C60的柱；剪跨比不大于2的柱</w:t>
      </w:r>
      <w:r>
        <w:rPr>
          <w:rFonts w:hint="eastAsia" w:ascii="Arial" w:hAnsi="Arial" w:cs="Arial"/>
          <w:color w:val="000000"/>
          <w:kern w:val="0"/>
          <w:sz w:val="18"/>
          <w:szCs w:val="18"/>
          <w:lang w:bidi="ar"/>
        </w:rPr>
        <w:t>，</w:t>
      </w:r>
      <w:r>
        <w:rPr>
          <w:rFonts w:ascii="Arial" w:hAnsi="Arial" w:cs="Arial"/>
          <w:color w:val="000000"/>
          <w:kern w:val="0"/>
          <w:sz w:val="18"/>
          <w:szCs w:val="18"/>
          <w:lang w:bidi="ar"/>
        </w:rPr>
        <w:t>轴压比限值应降低</w:t>
      </w:r>
      <w:r>
        <w:rPr>
          <w:rFonts w:hint="eastAsia" w:ascii="Arial" w:hAnsi="Arial" w:cs="Arial"/>
          <w:color w:val="000000"/>
          <w:kern w:val="0"/>
          <w:sz w:val="18"/>
          <w:szCs w:val="18"/>
          <w:lang w:bidi="ar"/>
        </w:rPr>
        <w:t>0.05；</w:t>
      </w:r>
      <w:r>
        <w:rPr>
          <w:rFonts w:ascii="Arial" w:hAnsi="Arial" w:cs="Arial"/>
          <w:color w:val="000000"/>
          <w:kern w:val="0"/>
          <w:sz w:val="18"/>
          <w:szCs w:val="18"/>
          <w:lang w:bidi="ar"/>
        </w:rPr>
        <w:t>剪跨比小于</w:t>
      </w:r>
      <w:r>
        <w:rPr>
          <w:rFonts w:hint="eastAsia" w:ascii="Arial" w:hAnsi="Arial" w:cs="Arial"/>
          <w:color w:val="000000"/>
          <w:kern w:val="0"/>
          <w:sz w:val="18"/>
          <w:szCs w:val="18"/>
          <w:lang w:bidi="ar"/>
        </w:rPr>
        <w:t>1.5</w:t>
      </w:r>
      <w:r>
        <w:rPr>
          <w:rFonts w:ascii="Arial" w:hAnsi="Arial" w:cs="Arial"/>
          <w:color w:val="000000"/>
          <w:kern w:val="0"/>
          <w:sz w:val="18"/>
          <w:szCs w:val="18"/>
          <w:lang w:bidi="ar"/>
        </w:rPr>
        <w:t>的柱</w:t>
      </w:r>
      <w:r>
        <w:rPr>
          <w:rFonts w:hint="eastAsia" w:ascii="Arial" w:hAnsi="Arial" w:cs="Arial"/>
          <w:color w:val="000000"/>
          <w:kern w:val="0"/>
          <w:sz w:val="18"/>
          <w:szCs w:val="18"/>
          <w:lang w:bidi="ar"/>
        </w:rPr>
        <w:t>，</w:t>
      </w:r>
      <w:r>
        <w:rPr>
          <w:rFonts w:ascii="Arial" w:hAnsi="Arial" w:cs="Arial"/>
          <w:color w:val="000000"/>
          <w:kern w:val="0"/>
          <w:sz w:val="18"/>
          <w:szCs w:val="18"/>
          <w:lang w:bidi="ar"/>
        </w:rPr>
        <w:t>轴压比限值应专门研究并采取特殊构造措施；</w:t>
      </w:r>
    </w:p>
    <w:p>
      <w:pPr>
        <w:widowControl/>
        <w:numPr>
          <w:ilvl w:val="0"/>
          <w:numId w:val="13"/>
        </w:numPr>
        <w:spacing w:line="360" w:lineRule="auto"/>
        <w:ind w:left="360" w:right="420" w:rightChars="200" w:hanging="360" w:hangingChars="200"/>
        <w:rPr>
          <w:rFonts w:ascii="Arial" w:hAnsi="Arial" w:cs="Arial"/>
          <w:color w:val="000000"/>
          <w:kern w:val="0"/>
          <w:sz w:val="18"/>
          <w:szCs w:val="18"/>
          <w:lang w:bidi="ar"/>
        </w:rPr>
      </w:pPr>
      <w:r>
        <w:rPr>
          <w:rFonts w:ascii="Arial" w:hAnsi="Arial" w:cs="Arial"/>
          <w:color w:val="000000"/>
          <w:kern w:val="0"/>
          <w:sz w:val="18"/>
          <w:szCs w:val="18"/>
          <w:lang w:bidi="ar"/>
        </w:rPr>
        <w:t>沿柱全高采用井字复合箍且箍筋肢距不大于200mm、间距不大于100mm、直径不小于12mm</w:t>
      </w:r>
      <w:r>
        <w:rPr>
          <w:rFonts w:hint="eastAsia" w:ascii="Arial" w:hAnsi="Arial" w:cs="Arial"/>
          <w:color w:val="000000"/>
          <w:kern w:val="0"/>
          <w:sz w:val="18"/>
          <w:szCs w:val="18"/>
          <w:lang w:bidi="ar"/>
        </w:rPr>
        <w:t>，</w:t>
      </w:r>
      <w:r>
        <w:rPr>
          <w:rFonts w:ascii="Arial" w:hAnsi="Arial" w:cs="Arial"/>
          <w:color w:val="000000"/>
          <w:kern w:val="0"/>
          <w:sz w:val="18"/>
          <w:szCs w:val="18"/>
          <w:lang w:bidi="ar"/>
        </w:rPr>
        <w:t>或沿柱全高采用复合螺旋箍、螺旋间距不大于100mm、 箍筋肢距不大于200mm、直径不小于12mm</w:t>
      </w:r>
      <w:r>
        <w:rPr>
          <w:rFonts w:hint="eastAsia" w:ascii="Arial" w:hAnsi="Arial" w:cs="Arial"/>
          <w:color w:val="000000"/>
          <w:kern w:val="0"/>
          <w:sz w:val="18"/>
          <w:szCs w:val="18"/>
          <w:lang w:bidi="ar"/>
        </w:rPr>
        <w:t>，</w:t>
      </w:r>
      <w:r>
        <w:rPr>
          <w:rFonts w:ascii="Arial" w:hAnsi="Arial" w:cs="Arial"/>
          <w:color w:val="000000"/>
          <w:kern w:val="0"/>
          <w:sz w:val="18"/>
          <w:szCs w:val="18"/>
          <w:lang w:bidi="ar"/>
        </w:rPr>
        <w:t xml:space="preserve">或沿柱全高采用连续复合矩形螺旋箍、螺旋净距不大于80mm、箍筋肢距不大于200mm、直径不小于10mm,轴压比限值均可增加0.10；上述三种箍筋的最小配箍特征值均应按增大的轴压比由本规程表6.3.9确定； </w:t>
      </w:r>
    </w:p>
    <w:p>
      <w:pPr>
        <w:widowControl/>
        <w:numPr>
          <w:ilvl w:val="0"/>
          <w:numId w:val="13"/>
        </w:numPr>
        <w:spacing w:line="360" w:lineRule="auto"/>
        <w:ind w:left="360" w:right="420" w:rightChars="200" w:hanging="360" w:hangingChars="200"/>
        <w:rPr>
          <w:rFonts w:ascii="Arial" w:hAnsi="Arial" w:cs="Arial"/>
          <w:color w:val="000000"/>
          <w:kern w:val="0"/>
          <w:sz w:val="18"/>
          <w:szCs w:val="18"/>
          <w:lang w:bidi="ar"/>
        </w:rPr>
      </w:pPr>
      <w:r>
        <w:rPr>
          <w:rFonts w:ascii="Arial" w:hAnsi="Arial" w:cs="Arial"/>
          <w:color w:val="000000"/>
          <w:kern w:val="0"/>
          <w:sz w:val="18"/>
          <w:szCs w:val="18"/>
          <w:lang w:bidi="ar"/>
        </w:rPr>
        <w:t xml:space="preserve"> 在柱的截面中部附加芯柱</w:t>
      </w:r>
      <w:r>
        <w:rPr>
          <w:rFonts w:hint="eastAsia" w:ascii="Arial" w:hAnsi="Arial" w:cs="Arial"/>
          <w:color w:val="000000"/>
          <w:kern w:val="0"/>
          <w:sz w:val="18"/>
          <w:szCs w:val="18"/>
          <w:lang w:bidi="ar"/>
        </w:rPr>
        <w:t>，</w:t>
      </w:r>
      <w:r>
        <w:rPr>
          <w:rFonts w:ascii="Arial" w:hAnsi="Arial" w:cs="Arial"/>
          <w:color w:val="000000"/>
          <w:kern w:val="0"/>
          <w:sz w:val="18"/>
          <w:szCs w:val="18"/>
          <w:lang w:bidi="ar"/>
        </w:rPr>
        <w:t>其中另加的纵向钢筋的总面积不少于柱截面面积的0.8%，轴压比限值可增加0.05；此项措施与注3的措施共同采用时，轴压比限值可增加0.15，但箍筋的体积配箍率仍可按轴压比增加0.10要求确定；</w:t>
      </w:r>
    </w:p>
    <w:p>
      <w:pPr>
        <w:widowControl/>
        <w:numPr>
          <w:ilvl w:val="0"/>
          <w:numId w:val="13"/>
        </w:numPr>
        <w:spacing w:line="360" w:lineRule="auto"/>
        <w:ind w:left="360" w:right="420" w:rightChars="200" w:hanging="360" w:hangingChars="200"/>
        <w:rPr>
          <w:rFonts w:ascii="Arial" w:hAnsi="Arial" w:cs="Arial"/>
          <w:sz w:val="18"/>
          <w:szCs w:val="18"/>
        </w:rPr>
      </w:pPr>
      <w:r>
        <w:rPr>
          <w:rFonts w:ascii="Arial" w:hAnsi="Arial" w:cs="Arial"/>
          <w:color w:val="000000"/>
          <w:kern w:val="0"/>
          <w:sz w:val="18"/>
          <w:szCs w:val="18"/>
          <w:lang w:bidi="ar"/>
        </w:rPr>
        <w:t xml:space="preserve"> 柱轴压比不应大于1.05。</w:t>
      </w:r>
    </w:p>
    <w:p>
      <w:pPr>
        <w:widowControl/>
        <w:ind w:left="-420" w:leftChars="-200" w:right="420" w:rightChars="200"/>
        <w:rPr>
          <w:rFonts w:ascii="Arial" w:hAnsi="Arial" w:cs="Arial"/>
          <w:sz w:val="24"/>
          <w:szCs w:val="24"/>
        </w:rPr>
      </w:pPr>
    </w:p>
    <w:p>
      <w:pPr>
        <w:spacing w:line="360" w:lineRule="auto"/>
        <w:rPr>
          <w:rFonts w:ascii="Arial" w:hAnsi="Arial" w:cs="Arial"/>
          <w:sz w:val="24"/>
          <w:szCs w:val="24"/>
        </w:rPr>
      </w:pPr>
      <w:r>
        <w:rPr>
          <w:rFonts w:ascii="Arial" w:hAnsi="Arial" w:cs="Arial"/>
          <w:sz w:val="24"/>
          <w:szCs w:val="24"/>
        </w:rPr>
        <w:t>6.3.8 柱的纵向钢筋配置，尚应符合下列规定：</w:t>
      </w:r>
    </w:p>
    <w:p>
      <w:pPr>
        <w:spacing w:line="360" w:lineRule="auto"/>
        <w:ind w:firstLine="480" w:firstLineChars="200"/>
        <w:rPr>
          <w:rFonts w:ascii="Arial" w:hAnsi="Arial" w:cs="Arial"/>
          <w:kern w:val="0"/>
          <w:sz w:val="24"/>
          <w:szCs w:val="24"/>
        </w:rPr>
      </w:pPr>
      <w:r>
        <w:rPr>
          <w:rFonts w:ascii="Arial" w:hAnsi="Arial" w:cs="Arial"/>
          <w:kern w:val="0"/>
          <w:sz w:val="24"/>
          <w:szCs w:val="24"/>
        </w:rPr>
        <w:t>4 边柱、角柱及抗震墙端柱在小偏心受拉时，柱内纵筋总截面面积应比计算值增加25%。</w:t>
      </w:r>
    </w:p>
    <w:p>
      <w:pPr>
        <w:spacing w:line="360" w:lineRule="auto"/>
        <w:rPr>
          <w:rFonts w:ascii="Arial" w:hAnsi="Arial" w:cs="Arial"/>
          <w:sz w:val="24"/>
          <w:szCs w:val="24"/>
        </w:rPr>
      </w:pPr>
      <w:r>
        <w:rPr>
          <w:rFonts w:ascii="Arial" w:hAnsi="Arial" w:cs="Arial"/>
          <w:sz w:val="24"/>
          <w:szCs w:val="24"/>
        </w:rPr>
        <w:t>6.3.9 柱的箍筋配置，尚应符合下列要求：</w:t>
      </w:r>
    </w:p>
    <w:p>
      <w:pPr>
        <w:spacing w:line="360" w:lineRule="auto"/>
        <w:ind w:firstLine="480" w:firstLineChars="200"/>
        <w:rPr>
          <w:rFonts w:ascii="Arial" w:hAnsi="Arial" w:cs="Arial"/>
          <w:kern w:val="0"/>
          <w:sz w:val="24"/>
          <w:szCs w:val="24"/>
        </w:rPr>
      </w:pPr>
      <w:r>
        <w:rPr>
          <w:rFonts w:ascii="Arial" w:hAnsi="Arial" w:cs="Arial"/>
          <w:kern w:val="0"/>
          <w:sz w:val="24"/>
          <w:szCs w:val="24"/>
        </w:rPr>
        <w:t>1 柱的箍筋加密范围，应按下列规定采用：</w:t>
      </w:r>
    </w:p>
    <w:p>
      <w:pPr>
        <w:pStyle w:val="78"/>
        <w:numPr>
          <w:ilvl w:val="0"/>
          <w:numId w:val="14"/>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柱端，取截面高度（圆柱直径）、柱净高的1/6和500mm三者的最大值；</w:t>
      </w:r>
    </w:p>
    <w:p>
      <w:pPr>
        <w:pStyle w:val="78"/>
        <w:numPr>
          <w:ilvl w:val="0"/>
          <w:numId w:val="14"/>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底层柱的下端不小于柱净高的1/3；</w:t>
      </w:r>
    </w:p>
    <w:p>
      <w:pPr>
        <w:pStyle w:val="78"/>
        <w:numPr>
          <w:ilvl w:val="0"/>
          <w:numId w:val="14"/>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刚性地面上下各500mm；</w:t>
      </w:r>
    </w:p>
    <w:p>
      <w:pPr>
        <w:pStyle w:val="78"/>
        <w:numPr>
          <w:ilvl w:val="0"/>
          <w:numId w:val="14"/>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剪跨比不大于2的柱、因设置填充墙等形成的柱净高与柱截面高度之比不大于4的柱、框支柱、一级和二级框架的角柱，取全高。</w:t>
      </w:r>
    </w:p>
    <w:p>
      <w:pPr>
        <w:spacing w:line="360" w:lineRule="auto"/>
        <w:ind w:firstLine="480" w:firstLineChars="200"/>
        <w:rPr>
          <w:rFonts w:ascii="Arial" w:hAnsi="Arial" w:cs="Arial"/>
          <w:kern w:val="0"/>
          <w:sz w:val="24"/>
          <w:szCs w:val="24"/>
        </w:rPr>
      </w:pPr>
      <w:r>
        <w:rPr>
          <w:rFonts w:ascii="Arial" w:hAnsi="Arial" w:cs="Arial"/>
          <w:kern w:val="0"/>
          <w:sz w:val="24"/>
          <w:szCs w:val="24"/>
        </w:rPr>
        <w:t>2 柱箍筋加密区的箍筋肢距，一级不宜大于200mm，二、三级不宜大于250mm，四级不宜大于300mm。至少每隔一根纵向钢筋宜在两个方向有箍筋或拉筋约束；采用拉筋复合箍时，拉筋宜紧靠纵向钢筋并钩住箍筋。</w:t>
      </w:r>
    </w:p>
    <w:p>
      <w:pPr>
        <w:spacing w:line="360" w:lineRule="auto"/>
        <w:ind w:firstLine="480" w:firstLineChars="200"/>
        <w:rPr>
          <w:rFonts w:ascii="Arial" w:hAnsi="Arial" w:cs="Arial"/>
          <w:kern w:val="0"/>
          <w:sz w:val="24"/>
          <w:szCs w:val="24"/>
        </w:rPr>
      </w:pPr>
      <w:r>
        <w:rPr>
          <w:rFonts w:ascii="Arial" w:hAnsi="Arial" w:cs="Arial"/>
          <w:kern w:val="0"/>
          <w:sz w:val="24"/>
          <w:szCs w:val="24"/>
        </w:rPr>
        <w:t>3 柱箍筋加密区的体积配箍率，应按下列规定采用：</w:t>
      </w:r>
    </w:p>
    <w:p>
      <w:pPr>
        <w:pStyle w:val="78"/>
        <w:numPr>
          <w:ilvl w:val="0"/>
          <w:numId w:val="15"/>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柱箍筋加密区的体积配箍率应符合下式要求：</w:t>
      </w:r>
    </w:p>
    <w:p>
      <w:pPr>
        <w:spacing w:line="360" w:lineRule="auto"/>
        <w:jc w:val="center"/>
        <w:rPr>
          <w:rFonts w:ascii="Arial" w:hAnsi="Arial" w:cs="Arial"/>
          <w:kern w:val="0"/>
          <w:sz w:val="24"/>
          <w:szCs w:val="24"/>
        </w:rPr>
      </w:pPr>
      <w:r>
        <w:rPr>
          <w:rFonts w:ascii="Arial" w:hAnsi="Arial" w:cs="Arial"/>
          <w:kern w:val="0"/>
          <w:sz w:val="24"/>
          <w:szCs w:val="24"/>
        </w:rPr>
        <w:t>ρ</w:t>
      </w:r>
      <w:r>
        <w:rPr>
          <w:rFonts w:ascii="Arial" w:hAnsi="Arial" w:cs="Arial"/>
          <w:kern w:val="0"/>
          <w:sz w:val="24"/>
          <w:szCs w:val="24"/>
          <w:vertAlign w:val="subscript"/>
        </w:rPr>
        <w:t>v</w:t>
      </w:r>
      <w:r>
        <w:rPr>
          <w:rFonts w:ascii="Arial" w:hAnsi="Arial" w:cs="Arial"/>
          <w:kern w:val="0"/>
          <w:sz w:val="24"/>
          <w:szCs w:val="24"/>
        </w:rPr>
        <w:t>≥λ</w:t>
      </w:r>
      <w:r>
        <w:rPr>
          <w:rFonts w:ascii="Arial" w:hAnsi="Arial" w:cs="Arial"/>
          <w:kern w:val="0"/>
          <w:sz w:val="24"/>
          <w:szCs w:val="24"/>
          <w:vertAlign w:val="subscript"/>
        </w:rPr>
        <w:t>v</w:t>
      </w:r>
      <w:r>
        <w:rPr>
          <w:rFonts w:ascii="Arial" w:hAnsi="Arial" w:cs="Arial"/>
          <w:kern w:val="0"/>
          <w:sz w:val="24"/>
          <w:szCs w:val="24"/>
        </w:rPr>
        <w:t>f</w:t>
      </w:r>
      <w:r>
        <w:rPr>
          <w:rFonts w:ascii="Arial" w:hAnsi="Arial" w:cs="Arial"/>
          <w:kern w:val="0"/>
          <w:sz w:val="24"/>
          <w:szCs w:val="24"/>
          <w:vertAlign w:val="subscript"/>
        </w:rPr>
        <w:t>c</w:t>
      </w:r>
      <w:r>
        <w:rPr>
          <w:rFonts w:ascii="Arial" w:hAnsi="Arial" w:cs="Arial"/>
          <w:kern w:val="0"/>
          <w:sz w:val="24"/>
          <w:szCs w:val="24"/>
        </w:rPr>
        <w:t>/f</w:t>
      </w:r>
      <w:r>
        <w:rPr>
          <w:rFonts w:ascii="Arial" w:hAnsi="Arial" w:cs="Arial"/>
          <w:kern w:val="0"/>
          <w:sz w:val="24"/>
          <w:szCs w:val="24"/>
          <w:vertAlign w:val="subscript"/>
        </w:rPr>
        <w:t>yv</w:t>
      </w:r>
      <w:r>
        <w:rPr>
          <w:rFonts w:ascii="Arial" w:hAnsi="Arial" w:cs="Arial"/>
          <w:kern w:val="0"/>
          <w:sz w:val="24"/>
          <w:szCs w:val="24"/>
        </w:rPr>
        <w:t xml:space="preserve">                 （6.3.9）</w:t>
      </w:r>
    </w:p>
    <w:p>
      <w:pPr>
        <w:spacing w:line="360" w:lineRule="auto"/>
        <w:ind w:left="1140" w:leftChars="200" w:hanging="720" w:hangingChars="300"/>
        <w:rPr>
          <w:rFonts w:ascii="Arial" w:hAnsi="Arial" w:cs="Arial"/>
          <w:kern w:val="0"/>
          <w:sz w:val="24"/>
          <w:szCs w:val="24"/>
        </w:rPr>
      </w:pPr>
      <w:r>
        <w:rPr>
          <w:rFonts w:ascii="Arial" w:hAnsi="Arial" w:cs="Arial"/>
          <w:kern w:val="0"/>
          <w:sz w:val="24"/>
          <w:szCs w:val="24"/>
        </w:rPr>
        <w:t>式中：ρ</w:t>
      </w:r>
      <w:r>
        <w:rPr>
          <w:rFonts w:ascii="Arial" w:hAnsi="Arial" w:cs="Arial"/>
          <w:kern w:val="0"/>
          <w:sz w:val="24"/>
          <w:szCs w:val="24"/>
          <w:vertAlign w:val="subscript"/>
        </w:rPr>
        <w:t>v</w:t>
      </w:r>
      <w:r>
        <w:rPr>
          <w:rFonts w:ascii="Arial" w:hAnsi="Arial" w:cs="Arial"/>
          <w:kern w:val="0"/>
          <w:sz w:val="24"/>
          <w:szCs w:val="24"/>
        </w:rPr>
        <w:t>——柱箍筋加密区的体积配箍率（计算中应扣除复合箍重叠部分的箍筋体积），一级不应小于0.8%，二级不应小于0.6%，三、四级不应小于0.4%；计算复合螺旋箍的体积配箍率时，非螺旋箍的箍筋体积应乘以折减系数0.80；</w:t>
      </w:r>
    </w:p>
    <w:p>
      <w:pPr>
        <w:spacing w:line="360" w:lineRule="auto"/>
        <w:ind w:left="1155" w:leftChars="550"/>
        <w:rPr>
          <w:rFonts w:ascii="Arial" w:hAnsi="Arial" w:cs="Arial"/>
          <w:kern w:val="0"/>
          <w:sz w:val="24"/>
          <w:szCs w:val="24"/>
        </w:rPr>
      </w:pPr>
      <w:r>
        <w:rPr>
          <w:rFonts w:ascii="Arial" w:hAnsi="Arial" w:cs="Arial"/>
          <w:kern w:val="0"/>
          <w:sz w:val="24"/>
          <w:szCs w:val="24"/>
        </w:rPr>
        <w:t>f</w:t>
      </w:r>
      <w:r>
        <w:rPr>
          <w:rFonts w:ascii="Arial" w:hAnsi="Arial" w:cs="Arial"/>
          <w:kern w:val="0"/>
          <w:sz w:val="24"/>
          <w:szCs w:val="24"/>
          <w:vertAlign w:val="subscript"/>
        </w:rPr>
        <w:t>c</w:t>
      </w:r>
      <w:r>
        <w:rPr>
          <w:rFonts w:ascii="Arial" w:hAnsi="Arial" w:cs="Arial"/>
          <w:kern w:val="0"/>
          <w:sz w:val="24"/>
          <w:szCs w:val="24"/>
        </w:rPr>
        <w:t>——混凝土轴心抗压强度设计值，强度等级低于C35时，应按C35计算；</w:t>
      </w:r>
    </w:p>
    <w:p>
      <w:pPr>
        <w:spacing w:line="360" w:lineRule="auto"/>
        <w:ind w:left="1155" w:leftChars="550"/>
        <w:rPr>
          <w:rFonts w:ascii="Arial" w:hAnsi="Arial" w:cs="Arial"/>
          <w:kern w:val="0"/>
          <w:sz w:val="24"/>
          <w:szCs w:val="24"/>
        </w:rPr>
      </w:pPr>
      <w:r>
        <w:rPr>
          <w:rFonts w:ascii="Arial" w:hAnsi="Arial" w:cs="Arial"/>
          <w:kern w:val="0"/>
          <w:sz w:val="24"/>
          <w:szCs w:val="24"/>
        </w:rPr>
        <w:t>f</w:t>
      </w:r>
      <w:r>
        <w:rPr>
          <w:rFonts w:ascii="Arial" w:hAnsi="Arial" w:cs="Arial"/>
          <w:kern w:val="0"/>
          <w:sz w:val="24"/>
          <w:szCs w:val="24"/>
          <w:vertAlign w:val="subscript"/>
        </w:rPr>
        <w:t>yv</w:t>
      </w:r>
      <w:r>
        <w:rPr>
          <w:rFonts w:ascii="Arial" w:hAnsi="Arial" w:cs="Arial"/>
          <w:kern w:val="0"/>
          <w:sz w:val="24"/>
          <w:szCs w:val="24"/>
        </w:rPr>
        <w:t>——箍筋或拉筋抗拉强度设计值；</w:t>
      </w:r>
    </w:p>
    <w:p>
      <w:pPr>
        <w:spacing w:line="360" w:lineRule="auto"/>
        <w:ind w:left="1155" w:leftChars="550"/>
        <w:rPr>
          <w:rFonts w:ascii="Arial" w:hAnsi="Arial" w:cs="Arial"/>
          <w:kern w:val="0"/>
          <w:sz w:val="24"/>
          <w:szCs w:val="24"/>
        </w:rPr>
      </w:pPr>
      <w:r>
        <w:rPr>
          <w:rFonts w:ascii="Arial" w:hAnsi="Arial" w:cs="Arial"/>
          <w:kern w:val="0"/>
          <w:sz w:val="24"/>
          <w:szCs w:val="24"/>
        </w:rPr>
        <w:t>λ</w:t>
      </w:r>
      <w:r>
        <w:rPr>
          <w:rFonts w:ascii="Arial" w:hAnsi="Arial" w:cs="Arial"/>
          <w:kern w:val="0"/>
          <w:sz w:val="24"/>
          <w:szCs w:val="24"/>
          <w:vertAlign w:val="subscript"/>
        </w:rPr>
        <w:t>v</w:t>
      </w:r>
      <w:r>
        <w:rPr>
          <w:rFonts w:ascii="Arial" w:hAnsi="Arial" w:cs="Arial"/>
          <w:kern w:val="0"/>
          <w:sz w:val="24"/>
          <w:szCs w:val="24"/>
        </w:rPr>
        <w:t>——最小配箍特征值，宜按表6.3.9采用。</w:t>
      </w:r>
    </w:p>
    <w:p>
      <w:pPr>
        <w:tabs>
          <w:tab w:val="left" w:pos="8222"/>
        </w:tabs>
        <w:spacing w:before="156" w:beforeLines="50" w:after="156" w:afterLines="50"/>
        <w:ind w:right="88" w:rightChars="42"/>
        <w:jc w:val="center"/>
        <w:rPr>
          <w:rFonts w:ascii="Arial" w:hAnsi="Arial" w:cs="Arial"/>
          <w:szCs w:val="21"/>
        </w:rPr>
      </w:pPr>
      <w:r>
        <w:rPr>
          <w:rFonts w:ascii="Arial" w:hAnsi="Arial" w:cs="Arial"/>
          <w:szCs w:val="21"/>
        </w:rPr>
        <w:drawing>
          <wp:inline distT="0" distB="0" distL="0" distR="0">
            <wp:extent cx="4262120" cy="3235960"/>
            <wp:effectExtent l="19050" t="0" r="5080" b="0"/>
            <wp:docPr id="31" name="图片 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40"/>
                    <pic:cNvPicPr>
                      <a:picLocks noChangeAspect="true" noChangeArrowheads="true"/>
                    </pic:cNvPicPr>
                  </pic:nvPicPr>
                  <pic:blipFill>
                    <a:blip r:embed="rId49"/>
                    <a:srcRect/>
                    <a:stretch>
                      <a:fillRect/>
                    </a:stretch>
                  </pic:blipFill>
                  <pic:spPr>
                    <a:xfrm>
                      <a:off x="0" y="0"/>
                      <a:ext cx="4262120" cy="3235960"/>
                    </a:xfrm>
                    <a:prstGeom prst="rect">
                      <a:avLst/>
                    </a:prstGeom>
                    <a:noFill/>
                    <a:ln w="9525">
                      <a:noFill/>
                      <a:miter lim="800000"/>
                      <a:headEnd/>
                      <a:tailEnd/>
                    </a:ln>
                  </pic:spPr>
                </pic:pic>
              </a:graphicData>
            </a:graphic>
          </wp:inline>
        </w:drawing>
      </w:r>
    </w:p>
    <w:p>
      <w:pPr>
        <w:pStyle w:val="78"/>
        <w:numPr>
          <w:ilvl w:val="0"/>
          <w:numId w:val="15"/>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框支柱宜采用复合螺旋箍或井字复合箍，其最小配箍特征值应比表6.3.9内数值增加0.02，且体积配箍率不应小于1.5%。</w:t>
      </w:r>
    </w:p>
    <w:p>
      <w:pPr>
        <w:pStyle w:val="78"/>
        <w:numPr>
          <w:ilvl w:val="0"/>
          <w:numId w:val="15"/>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剪跨比不大于2的柱宜采用复合螺旋箍或井字复合箍，其体积配箍率不应小于1.2%。</w:t>
      </w:r>
    </w:p>
    <w:p>
      <w:pPr>
        <w:spacing w:line="360" w:lineRule="auto"/>
        <w:ind w:firstLine="480" w:firstLineChars="200"/>
        <w:rPr>
          <w:rFonts w:ascii="Arial" w:hAnsi="Arial" w:cs="Arial"/>
          <w:kern w:val="0"/>
          <w:sz w:val="24"/>
          <w:szCs w:val="24"/>
        </w:rPr>
      </w:pPr>
      <w:r>
        <w:rPr>
          <w:rFonts w:ascii="Arial" w:hAnsi="Arial" w:cs="Arial"/>
          <w:kern w:val="0"/>
          <w:sz w:val="24"/>
          <w:szCs w:val="24"/>
        </w:rPr>
        <w:t>4 柱箍筋非加密区的箍筋配置，应符合下列要求：</w:t>
      </w:r>
    </w:p>
    <w:p>
      <w:pPr>
        <w:pStyle w:val="78"/>
        <w:numPr>
          <w:ilvl w:val="0"/>
          <w:numId w:val="16"/>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柱箍筋非加密区的体积配箍率不宜小于加密区的50%。</w:t>
      </w:r>
    </w:p>
    <w:p>
      <w:pPr>
        <w:pStyle w:val="78"/>
        <w:numPr>
          <w:ilvl w:val="0"/>
          <w:numId w:val="16"/>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箍筋间距，一、二级框架柱不应大于10倍纵向钢筋直径，三、四级框架柱不应大于15倍纵向钢筋直径。</w:t>
      </w:r>
    </w:p>
    <w:p>
      <w:pPr>
        <w:spacing w:line="360" w:lineRule="auto"/>
        <w:rPr>
          <w:rFonts w:ascii="Arial" w:hAnsi="Arial" w:cs="Arial"/>
          <w:sz w:val="24"/>
          <w:szCs w:val="24"/>
        </w:rPr>
      </w:pPr>
      <w:r>
        <w:rPr>
          <w:rFonts w:ascii="Arial" w:hAnsi="Arial" w:cs="Arial"/>
          <w:sz w:val="24"/>
          <w:szCs w:val="24"/>
        </w:rPr>
        <w:t>6.4.2 一、二、三级抗震墙在重力荷载代表值作用下墙肢的轴压比，一级时，7、8度不宜大于0.5；二、三级时不宜大于0.6。一、二、三级短肢抗震墙的轴压比，分别不宜大于0.45、0.50、0.55，一字形截面短肢抗震墙的轴压比限值应相应减少0.1。</w:t>
      </w:r>
    </w:p>
    <w:p>
      <w:pPr>
        <w:spacing w:line="360" w:lineRule="auto"/>
        <w:ind w:firstLine="480" w:firstLineChars="200"/>
        <w:rPr>
          <w:rFonts w:ascii="Arial" w:hAnsi="Arial" w:cs="Arial"/>
          <w:kern w:val="0"/>
          <w:szCs w:val="24"/>
        </w:rPr>
      </w:pPr>
      <w:r>
        <w:rPr>
          <w:rFonts w:ascii="Arial" w:hAnsi="Arial" w:cs="Arial"/>
          <w:sz w:val="24"/>
          <w:szCs w:val="24"/>
        </w:rPr>
        <w:t>注：墙肢轴压比指墙的轴压力设计值与墙的全截面面积和混凝土轴心抗压强度设计值乘积之比值。</w:t>
      </w:r>
    </w:p>
    <w:p>
      <w:pPr>
        <w:spacing w:line="360" w:lineRule="auto"/>
        <w:rPr>
          <w:rFonts w:ascii="Arial" w:hAnsi="Arial" w:cs="Arial"/>
          <w:sz w:val="24"/>
          <w:szCs w:val="24"/>
        </w:rPr>
      </w:pPr>
      <w:r>
        <w:rPr>
          <w:rFonts w:ascii="Arial" w:hAnsi="Arial" w:cs="Arial"/>
          <w:sz w:val="24"/>
          <w:szCs w:val="24"/>
        </w:rPr>
        <w:t>6.4.5 抗震墙两端和洞口两侧应设置边缘构件，边缘构件包括暗柱、端柱和翼墙，并应符合下列要求：</w:t>
      </w:r>
    </w:p>
    <w:p>
      <w:pPr>
        <w:spacing w:line="360" w:lineRule="auto"/>
        <w:ind w:firstLine="480" w:firstLineChars="200"/>
        <w:rPr>
          <w:rFonts w:ascii="Arial" w:hAnsi="Arial" w:cs="Arial"/>
          <w:kern w:val="0"/>
          <w:sz w:val="24"/>
          <w:szCs w:val="24"/>
        </w:rPr>
      </w:pPr>
      <w:r>
        <w:rPr>
          <w:rFonts w:ascii="Arial" w:hAnsi="Arial" w:cs="Arial"/>
          <w:kern w:val="0"/>
          <w:sz w:val="24"/>
          <w:szCs w:val="24"/>
        </w:rPr>
        <w:t>1 对于抗震墙结构，底层墙肢底截面的轴压比不大于表6.4.5-1规定的一、二、三级抗震墙及四级抗震墙，墙肢两端可设置构造边缘构件，构造边缘构件的范围可按图6.4.5-1采用，构造边缘构件的配筋除应满足受弯承载力要求外，并宜符合表6.4.5-2的要求。</w:t>
      </w:r>
    </w:p>
    <w:p>
      <w:pPr>
        <w:spacing w:before="156" w:beforeLines="50" w:after="156" w:afterLines="50"/>
        <w:ind w:right="88" w:rightChars="42"/>
        <w:jc w:val="center"/>
        <w:rPr>
          <w:rFonts w:ascii="Arial" w:hAnsi="Arial" w:cs="Arial"/>
          <w:szCs w:val="21"/>
        </w:rPr>
      </w:pPr>
      <w:r>
        <w:rPr>
          <w:rFonts w:ascii="Arial" w:hAnsi="Arial" w:cs="Arial"/>
          <w:szCs w:val="21"/>
        </w:rPr>
        <w:drawing>
          <wp:inline distT="0" distB="0" distL="0" distR="0">
            <wp:extent cx="4612640" cy="1026160"/>
            <wp:effectExtent l="19050" t="0" r="0" b="0"/>
            <wp:docPr id="32" name="图片 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41"/>
                    <pic:cNvPicPr>
                      <a:picLocks noChangeAspect="true" noChangeArrowheads="true"/>
                    </pic:cNvPicPr>
                  </pic:nvPicPr>
                  <pic:blipFill>
                    <a:blip r:embed="rId50"/>
                    <a:srcRect/>
                    <a:stretch>
                      <a:fillRect/>
                    </a:stretch>
                  </pic:blipFill>
                  <pic:spPr>
                    <a:xfrm>
                      <a:off x="0" y="0"/>
                      <a:ext cx="4612640" cy="1026160"/>
                    </a:xfrm>
                    <a:prstGeom prst="rect">
                      <a:avLst/>
                    </a:prstGeom>
                    <a:noFill/>
                    <a:ln w="9525">
                      <a:noFill/>
                      <a:miter lim="800000"/>
                      <a:headEnd/>
                      <a:tailEnd/>
                    </a:ln>
                  </pic:spPr>
                </pic:pic>
              </a:graphicData>
            </a:graphic>
          </wp:inline>
        </w:drawing>
      </w:r>
    </w:p>
    <w:p>
      <w:pPr>
        <w:spacing w:before="156" w:beforeLines="50" w:after="156" w:afterLines="50"/>
        <w:ind w:right="-50" w:rightChars="-24"/>
        <w:jc w:val="center"/>
        <w:rPr>
          <w:rFonts w:ascii="Arial" w:hAnsi="Arial" w:cs="Arial"/>
          <w:szCs w:val="21"/>
        </w:rPr>
      </w:pPr>
      <w:r>
        <w:rPr>
          <w:rFonts w:ascii="Arial" w:hAnsi="Arial" w:cs="Arial"/>
          <w:szCs w:val="21"/>
        </w:rPr>
        <w:drawing>
          <wp:inline distT="0" distB="0" distL="0" distR="0">
            <wp:extent cx="4495800" cy="3459480"/>
            <wp:effectExtent l="19050" t="0" r="0" b="0"/>
            <wp:docPr id="33" name="图片 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42"/>
                    <pic:cNvPicPr>
                      <a:picLocks noChangeAspect="true" noChangeArrowheads="true"/>
                    </pic:cNvPicPr>
                  </pic:nvPicPr>
                  <pic:blipFill>
                    <a:blip r:embed="rId51"/>
                    <a:srcRect/>
                    <a:stretch>
                      <a:fillRect/>
                    </a:stretch>
                  </pic:blipFill>
                  <pic:spPr>
                    <a:xfrm>
                      <a:off x="0" y="0"/>
                      <a:ext cx="4495800" cy="3459480"/>
                    </a:xfrm>
                    <a:prstGeom prst="rect">
                      <a:avLst/>
                    </a:prstGeom>
                    <a:noFill/>
                    <a:ln w="9525">
                      <a:noFill/>
                      <a:miter lim="800000"/>
                      <a:headEnd/>
                      <a:tailEnd/>
                    </a:ln>
                  </pic:spPr>
                </pic:pic>
              </a:graphicData>
            </a:graphic>
          </wp:inline>
        </w:drawing>
      </w:r>
    </w:p>
    <w:p>
      <w:pPr>
        <w:spacing w:before="156" w:beforeLines="50" w:after="156" w:afterLines="50"/>
        <w:ind w:right="-50" w:rightChars="-24"/>
        <w:jc w:val="center"/>
        <w:rPr>
          <w:rFonts w:ascii="Arial" w:hAnsi="Arial" w:cs="Arial"/>
          <w:szCs w:val="21"/>
        </w:rPr>
      </w:pPr>
      <w:r>
        <w:rPr>
          <w:rFonts w:ascii="Arial" w:hAnsi="Arial" w:cs="Arial"/>
          <w:szCs w:val="21"/>
        </w:rPr>
        <w:drawing>
          <wp:inline distT="0" distB="0" distL="0" distR="0">
            <wp:extent cx="4145280" cy="2875280"/>
            <wp:effectExtent l="19050" t="0" r="7620" b="0"/>
            <wp:docPr id="34" name="图片 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43"/>
                    <pic:cNvPicPr>
                      <a:picLocks noChangeAspect="true" noChangeArrowheads="true"/>
                    </pic:cNvPicPr>
                  </pic:nvPicPr>
                  <pic:blipFill>
                    <a:blip r:embed="rId52"/>
                    <a:srcRect b="1904"/>
                    <a:stretch>
                      <a:fillRect/>
                    </a:stretch>
                  </pic:blipFill>
                  <pic:spPr>
                    <a:xfrm>
                      <a:off x="0" y="0"/>
                      <a:ext cx="4145280" cy="2875280"/>
                    </a:xfrm>
                    <a:prstGeom prst="rect">
                      <a:avLst/>
                    </a:prstGeom>
                    <a:noFill/>
                    <a:ln w="9525">
                      <a:noFill/>
                      <a:miter lim="800000"/>
                      <a:headEnd/>
                      <a:tailEnd/>
                    </a:ln>
                  </pic:spPr>
                </pic:pic>
              </a:graphicData>
            </a:graphic>
          </wp:inline>
        </w:drawing>
      </w:r>
    </w:p>
    <w:p>
      <w:pPr>
        <w:spacing w:line="360" w:lineRule="auto"/>
        <w:ind w:firstLine="480" w:firstLineChars="200"/>
        <w:rPr>
          <w:rFonts w:ascii="Arial" w:hAnsi="Arial" w:cs="Arial"/>
          <w:kern w:val="0"/>
          <w:sz w:val="24"/>
          <w:szCs w:val="24"/>
        </w:rPr>
      </w:pPr>
      <w:r>
        <w:rPr>
          <w:rFonts w:ascii="Arial" w:hAnsi="Arial" w:cs="Arial"/>
          <w:kern w:val="0"/>
          <w:sz w:val="24"/>
          <w:szCs w:val="24"/>
        </w:rPr>
        <w:t>2 底层墙肢底截面的轴压比大于表6.4.5-1规定的一、二、三级抗震墙，以及部分框支抗震墙结构的抗震墙，应在底部加强部位及相邻的上一层设置约束边缘构件，在以上的其他部位可设置构造边缘构件。约束边缘构件沿墙肢的长度、配箍特征值、箍筋和纵向钢筋宜符合表6.4.5-3的要求（图6.4.5-2）。</w:t>
      </w:r>
    </w:p>
    <w:p>
      <w:pPr>
        <w:spacing w:before="156" w:beforeLines="50" w:after="156" w:afterLines="50"/>
        <w:ind w:right="88" w:rightChars="42"/>
        <w:jc w:val="center"/>
        <w:rPr>
          <w:rFonts w:ascii="Arial" w:hAnsi="Arial" w:cs="Arial"/>
          <w:szCs w:val="21"/>
        </w:rPr>
      </w:pPr>
      <w:r>
        <w:rPr>
          <w:rFonts w:ascii="Arial" w:hAnsi="Arial" w:cs="Arial"/>
          <w:szCs w:val="21"/>
        </w:rPr>
        <w:drawing>
          <wp:inline distT="0" distB="0" distL="0" distR="0">
            <wp:extent cx="4318000" cy="3962400"/>
            <wp:effectExtent l="19050" t="0" r="6350" b="0"/>
            <wp:docPr id="35" name="图片 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44"/>
                    <pic:cNvPicPr>
                      <a:picLocks noChangeAspect="true" noChangeArrowheads="true"/>
                    </pic:cNvPicPr>
                  </pic:nvPicPr>
                  <pic:blipFill>
                    <a:blip r:embed="rId53"/>
                    <a:srcRect/>
                    <a:stretch>
                      <a:fillRect/>
                    </a:stretch>
                  </pic:blipFill>
                  <pic:spPr>
                    <a:xfrm>
                      <a:off x="0" y="0"/>
                      <a:ext cx="4318000" cy="3962400"/>
                    </a:xfrm>
                    <a:prstGeom prst="rect">
                      <a:avLst/>
                    </a:prstGeom>
                    <a:noFill/>
                    <a:ln w="9525">
                      <a:noFill/>
                      <a:miter lim="800000"/>
                      <a:headEnd/>
                      <a:tailEnd/>
                    </a:ln>
                  </pic:spPr>
                </pic:pic>
              </a:graphicData>
            </a:graphic>
          </wp:inline>
        </w:drawing>
      </w:r>
    </w:p>
    <w:p>
      <w:pPr>
        <w:spacing w:before="156" w:beforeLines="50" w:after="156" w:afterLines="50"/>
        <w:ind w:left="420" w:leftChars="200" w:right="420" w:rightChars="200"/>
        <w:jc w:val="center"/>
        <w:rPr>
          <w:rFonts w:ascii="Arial" w:hAnsi="Arial" w:cs="Arial"/>
          <w:szCs w:val="21"/>
        </w:rPr>
      </w:pPr>
      <w:r>
        <w:rPr>
          <w:rFonts w:ascii="Arial" w:hAnsi="Arial" w:cs="Arial"/>
          <w:szCs w:val="21"/>
        </w:rPr>
        <w:drawing>
          <wp:inline distT="0" distB="0" distL="0" distR="0">
            <wp:extent cx="3982720" cy="3962400"/>
            <wp:effectExtent l="19050" t="0" r="0" b="0"/>
            <wp:docPr id="36" name="图片 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45"/>
                    <pic:cNvPicPr>
                      <a:picLocks noChangeAspect="true" noChangeArrowheads="true"/>
                    </pic:cNvPicPr>
                  </pic:nvPicPr>
                  <pic:blipFill>
                    <a:blip r:embed="rId54"/>
                    <a:srcRect/>
                    <a:stretch>
                      <a:fillRect/>
                    </a:stretch>
                  </pic:blipFill>
                  <pic:spPr>
                    <a:xfrm>
                      <a:off x="0" y="0"/>
                      <a:ext cx="3982720" cy="3962400"/>
                    </a:xfrm>
                    <a:prstGeom prst="rect">
                      <a:avLst/>
                    </a:prstGeom>
                    <a:noFill/>
                    <a:ln w="9525">
                      <a:noFill/>
                      <a:miter lim="800000"/>
                      <a:headEnd/>
                      <a:tailEnd/>
                    </a:ln>
                  </pic:spPr>
                </pic:pic>
              </a:graphicData>
            </a:graphic>
          </wp:inline>
        </w:drawing>
      </w:r>
    </w:p>
    <w:p>
      <w:pPr>
        <w:spacing w:line="360" w:lineRule="auto"/>
        <w:rPr>
          <w:rFonts w:ascii="Arial" w:hAnsi="Arial" w:cs="Arial"/>
          <w:sz w:val="24"/>
          <w:szCs w:val="24"/>
        </w:rPr>
      </w:pPr>
      <w:r>
        <w:rPr>
          <w:rFonts w:ascii="Arial" w:hAnsi="Arial" w:cs="Arial"/>
          <w:sz w:val="24"/>
          <w:szCs w:val="24"/>
        </w:rPr>
        <w:t>6.4.6 抗震墙的墙肢长度不大于墙厚的4倍时，应按柱的有关要求进行设计；矩形墙肢的厚度不大于300mm时，尚宜全高加密箍筋。</w:t>
      </w:r>
    </w:p>
    <w:p>
      <w:pPr>
        <w:spacing w:line="360" w:lineRule="auto"/>
        <w:rPr>
          <w:rFonts w:ascii="Arial" w:hAnsi="Arial" w:cs="Arial"/>
          <w:sz w:val="24"/>
          <w:szCs w:val="24"/>
        </w:rPr>
      </w:pPr>
      <w:r>
        <w:rPr>
          <w:rFonts w:ascii="Arial" w:hAnsi="Arial" w:cs="Arial"/>
          <w:sz w:val="24"/>
          <w:szCs w:val="24"/>
        </w:rPr>
        <w:t>6.6.2 板-柱-抗震墙的结构布置，尚应符合下列要求：</w:t>
      </w:r>
    </w:p>
    <w:p>
      <w:pPr>
        <w:spacing w:line="360" w:lineRule="auto"/>
        <w:ind w:firstLine="480" w:firstLineChars="200"/>
        <w:rPr>
          <w:rFonts w:ascii="Arial" w:hAnsi="Arial" w:cs="Arial"/>
          <w:kern w:val="0"/>
          <w:sz w:val="24"/>
          <w:szCs w:val="24"/>
        </w:rPr>
      </w:pPr>
      <w:r>
        <w:rPr>
          <w:rFonts w:ascii="Arial" w:hAnsi="Arial" w:cs="Arial"/>
          <w:kern w:val="0"/>
          <w:sz w:val="24"/>
          <w:szCs w:val="24"/>
        </w:rPr>
        <w:t>1 抗震墙厚度不应小于180mm，且不宜小于层高或无支长度的1/20；房屋高度大于12m时，墙厚不应小于200mm。</w:t>
      </w:r>
    </w:p>
    <w:p>
      <w:pPr>
        <w:spacing w:line="360" w:lineRule="auto"/>
        <w:ind w:firstLine="480" w:firstLineChars="200"/>
        <w:rPr>
          <w:rFonts w:ascii="Arial" w:hAnsi="Arial" w:cs="Arial"/>
          <w:kern w:val="0"/>
          <w:sz w:val="24"/>
          <w:szCs w:val="24"/>
        </w:rPr>
      </w:pPr>
      <w:r>
        <w:rPr>
          <w:rFonts w:ascii="Arial" w:hAnsi="Arial" w:cs="Arial"/>
          <w:kern w:val="0"/>
          <w:sz w:val="24"/>
          <w:szCs w:val="24"/>
        </w:rPr>
        <w:t>2 房屋的周边应采用有梁框架，楼、电梯洞口周边宜设置边框梁。</w:t>
      </w:r>
    </w:p>
    <w:p>
      <w:pPr>
        <w:spacing w:line="360" w:lineRule="auto"/>
        <w:ind w:firstLine="480" w:firstLineChars="200"/>
        <w:rPr>
          <w:rFonts w:ascii="Arial" w:hAnsi="Arial" w:cs="Arial"/>
          <w:kern w:val="0"/>
          <w:sz w:val="24"/>
          <w:szCs w:val="24"/>
        </w:rPr>
      </w:pPr>
      <w:r>
        <w:rPr>
          <w:rFonts w:ascii="Arial" w:hAnsi="Arial" w:cs="Arial"/>
          <w:kern w:val="0"/>
          <w:sz w:val="24"/>
          <w:szCs w:val="24"/>
        </w:rPr>
        <w:t>3  8度时宜采用有托板或柱帽的板-柱节点，托板或柱帽根部的厚度（包括板厚）不宜小于柱纵筋直径的16倍，托板或柱帽的边长不宜小于4倍板厚和柱截面对应边长之和。</w:t>
      </w:r>
    </w:p>
    <w:p>
      <w:pPr>
        <w:spacing w:line="360" w:lineRule="auto"/>
        <w:rPr>
          <w:rFonts w:ascii="Arial" w:hAnsi="Arial" w:cs="Arial"/>
          <w:sz w:val="24"/>
          <w:szCs w:val="24"/>
        </w:rPr>
      </w:pPr>
      <w:r>
        <w:rPr>
          <w:rFonts w:ascii="Arial" w:hAnsi="Arial" w:cs="Arial"/>
          <w:sz w:val="24"/>
          <w:szCs w:val="24"/>
        </w:rPr>
        <w:t>6.6.7 板-柱节点应按以下方法进行冲切承载力的抗震验算：</w:t>
      </w:r>
    </w:p>
    <w:p>
      <w:pPr>
        <w:spacing w:line="360" w:lineRule="auto"/>
        <w:ind w:firstLine="480" w:firstLineChars="200"/>
        <w:rPr>
          <w:rFonts w:ascii="Arial" w:hAnsi="Arial" w:cs="Arial"/>
          <w:kern w:val="0"/>
          <w:sz w:val="24"/>
          <w:szCs w:val="24"/>
        </w:rPr>
      </w:pPr>
      <w:r>
        <w:rPr>
          <w:rFonts w:ascii="Arial" w:hAnsi="Arial" w:cs="Arial"/>
          <w:kern w:val="0"/>
          <w:sz w:val="24"/>
          <w:szCs w:val="24"/>
        </w:rPr>
        <w:t>1 在局部荷载或集中反力作用下，不配置箍筋或弯起钢筋的板的受冲切承载力应符合下列规定（图6.6.7-1）：</w:t>
      </w:r>
    </w:p>
    <w:p>
      <w:pPr>
        <w:tabs>
          <w:tab w:val="left" w:pos="8222"/>
        </w:tabs>
        <w:spacing w:before="156" w:beforeLines="50" w:after="156" w:afterLines="50"/>
        <w:ind w:right="88" w:rightChars="42"/>
        <w:jc w:val="right"/>
        <w:rPr>
          <w:rFonts w:cs="Arial" w:asciiTheme="minorEastAsia" w:hAnsiTheme="minorEastAsia" w:eastAsiaTheme="minorEastAsia"/>
          <w:sz w:val="24"/>
          <w:szCs w:val="24"/>
        </w:rPr>
      </w:pPr>
      <m:oMath>
        <m:sSub>
          <m:sSubPr>
            <m:ctrlPr>
              <w:rPr>
                <w:rFonts w:ascii="Cambria Math" w:hAnsi="Cambria Math" w:cs="Arial" w:eastAsiaTheme="minorEastAsia"/>
                <w:sz w:val="24"/>
                <w:szCs w:val="24"/>
              </w:rPr>
            </m:ctrlPr>
          </m:sSubPr>
          <m:e>
            <m:r>
              <m:rPr/>
              <w:rPr>
                <w:rFonts w:ascii="Cambria Math" w:hAnsi="Cambria Math" w:cs="Arial" w:eastAsiaTheme="minorEastAsia"/>
                <w:sz w:val="24"/>
                <w:szCs w:val="24"/>
              </w:rPr>
              <m:t>F</m:t>
            </m:r>
            <m:ctrlPr>
              <w:rPr>
                <w:rFonts w:ascii="Cambria Math" w:hAnsi="Cambria Math" w:cs="Arial" w:eastAsiaTheme="minorEastAsia"/>
                <w:sz w:val="24"/>
                <w:szCs w:val="24"/>
              </w:rPr>
            </m:ctrlPr>
          </m:e>
          <m:sub>
            <m:r>
              <m:rPr/>
              <w:rPr>
                <w:rFonts w:ascii="Cambria Math" w:hAnsi="Cambria Math" w:cs="Arial" w:eastAsiaTheme="minorEastAsia"/>
                <w:sz w:val="24"/>
                <w:szCs w:val="24"/>
              </w:rPr>
              <m:t>l,eq</m:t>
            </m:r>
            <m:ctrlPr>
              <w:rPr>
                <w:rFonts w:ascii="Cambria Math" w:hAnsi="Cambria Math" w:cs="Arial" w:eastAsiaTheme="minorEastAsia"/>
                <w:sz w:val="24"/>
                <w:szCs w:val="24"/>
              </w:rPr>
            </m:ctrlPr>
          </m:sub>
        </m:sSub>
        <m:r>
          <m:rPr/>
          <w:rPr>
            <w:rFonts w:ascii="Cambria Math" w:hAnsi="Cambria Math" w:cs="Arial" w:eastAsiaTheme="minorEastAsia"/>
            <w:sz w:val="24"/>
            <w:szCs w:val="24"/>
          </w:rPr>
          <m:t>≤</m:t>
        </m:r>
        <m:d>
          <m:dPr>
            <m:ctrlPr>
              <w:rPr>
                <w:rFonts w:ascii="Cambria Math" w:hAnsi="Cambria Math" w:cs="Arial" w:eastAsiaTheme="minorEastAsia"/>
                <w:i/>
                <w:sz w:val="24"/>
                <w:szCs w:val="24"/>
              </w:rPr>
            </m:ctrlPr>
          </m:dPr>
          <m:e>
            <m:r>
              <m:rPr/>
              <w:rPr>
                <w:rFonts w:ascii="Cambria Math" w:hAnsi="Cambria Math" w:cs="Arial" w:eastAsiaTheme="minorEastAsia"/>
                <w:sz w:val="24"/>
                <w:szCs w:val="24"/>
              </w:rPr>
              <m:t>0.7</m:t>
            </m:r>
            <m:sSub>
              <m:sSubPr>
                <m:ctrlPr>
                  <w:rPr>
                    <w:rFonts w:ascii="Cambria Math" w:hAnsi="Cambria Math" w:cs="Arial" w:eastAsiaTheme="minorEastAsia"/>
                    <w:i/>
                    <w:sz w:val="24"/>
                    <w:szCs w:val="24"/>
                  </w:rPr>
                </m:ctrlPr>
              </m:sSubPr>
              <m:e>
                <m:r>
                  <m:rPr/>
                  <w:rPr>
                    <w:rFonts w:ascii="Cambria Math" w:hAnsi="Cambria Math" w:cs="Arial" w:eastAsiaTheme="minorEastAsia"/>
                    <w:sz w:val="24"/>
                    <w:szCs w:val="24"/>
                  </w:rPr>
                  <m:t>β</m:t>
                </m:r>
                <m:ctrlPr>
                  <w:rPr>
                    <w:rFonts w:ascii="Cambria Math" w:hAnsi="Cambria Math" w:cs="Arial" w:eastAsiaTheme="minorEastAsia"/>
                    <w:i/>
                    <w:sz w:val="24"/>
                    <w:szCs w:val="24"/>
                  </w:rPr>
                </m:ctrlPr>
              </m:e>
              <m:sub>
                <m:r>
                  <m:rPr/>
                  <w:rPr>
                    <w:rFonts w:ascii="Cambria Math" w:hAnsi="Cambria Math" w:cs="Arial" w:eastAsiaTheme="minorEastAsia"/>
                    <w:sz w:val="24"/>
                    <w:szCs w:val="24"/>
                  </w:rPr>
                  <m:t>ℎ</m:t>
                </m:r>
                <m:ctrlPr>
                  <w:rPr>
                    <w:rFonts w:ascii="Cambria Math" w:hAnsi="Cambria Math" w:cs="Arial" w:eastAsiaTheme="minorEastAsia"/>
                    <w:i/>
                    <w:sz w:val="24"/>
                    <w:szCs w:val="24"/>
                  </w:rPr>
                </m:ctrlPr>
              </m:sub>
            </m:sSub>
            <m:sSub>
              <m:sSubPr>
                <m:ctrlPr>
                  <w:rPr>
                    <w:rFonts w:ascii="Cambria Math" w:hAnsi="Cambria Math" w:cs="Arial" w:eastAsiaTheme="minorEastAsia"/>
                    <w:i/>
                    <w:sz w:val="24"/>
                    <w:szCs w:val="24"/>
                  </w:rPr>
                </m:ctrlPr>
              </m:sSubPr>
              <m:e>
                <m:r>
                  <m:rPr/>
                  <w:rPr>
                    <w:rFonts w:ascii="Cambria Math" w:hAnsi="Cambria Math" w:cs="Arial" w:eastAsiaTheme="minorEastAsia"/>
                    <w:sz w:val="24"/>
                    <w:szCs w:val="24"/>
                  </w:rPr>
                  <m:t>f</m:t>
                </m:r>
                <m:ctrlPr>
                  <w:rPr>
                    <w:rFonts w:ascii="Cambria Math" w:hAnsi="Cambria Math" w:cs="Arial" w:eastAsiaTheme="minorEastAsia"/>
                    <w:i/>
                    <w:sz w:val="24"/>
                    <w:szCs w:val="24"/>
                  </w:rPr>
                </m:ctrlPr>
              </m:e>
              <m:sub>
                <m:r>
                  <m:rPr/>
                  <w:rPr>
                    <w:rFonts w:ascii="Cambria Math" w:hAnsi="Cambria Math" w:cs="Arial" w:eastAsiaTheme="minorEastAsia"/>
                    <w:sz w:val="24"/>
                    <w:szCs w:val="24"/>
                  </w:rPr>
                  <m:t>t</m:t>
                </m:r>
                <m:ctrlPr>
                  <w:rPr>
                    <w:rFonts w:ascii="Cambria Math" w:hAnsi="Cambria Math" w:cs="Arial" w:eastAsiaTheme="minorEastAsia"/>
                    <w:i/>
                    <w:sz w:val="24"/>
                    <w:szCs w:val="24"/>
                  </w:rPr>
                </m:ctrlPr>
              </m:sub>
            </m:sSub>
            <m:r>
              <m:rPr/>
              <w:rPr>
                <w:rFonts w:ascii="Cambria Math" w:hAnsi="Cambria Math" w:cs="Arial" w:eastAsiaTheme="minorEastAsia"/>
                <w:sz w:val="24"/>
                <w:szCs w:val="24"/>
              </w:rPr>
              <m:t>+0.25</m:t>
            </m:r>
            <m:sSub>
              <m:sSubPr>
                <m:ctrlPr>
                  <w:rPr>
                    <w:rFonts w:ascii="Cambria Math" w:hAnsi="Cambria Math" w:cs="Arial" w:eastAsiaTheme="minorEastAsia"/>
                    <w:i/>
                    <w:sz w:val="24"/>
                    <w:szCs w:val="24"/>
                  </w:rPr>
                </m:ctrlPr>
              </m:sSubPr>
              <m:e>
                <m:r>
                  <m:rPr/>
                  <w:rPr>
                    <w:rFonts w:ascii="Cambria Math" w:hAnsi="Cambria Math" w:cs="Arial" w:eastAsiaTheme="minorEastAsia"/>
                    <w:sz w:val="24"/>
                    <w:szCs w:val="24"/>
                  </w:rPr>
                  <m:t>σ</m:t>
                </m:r>
                <m:ctrlPr>
                  <w:rPr>
                    <w:rFonts w:ascii="Cambria Math" w:hAnsi="Cambria Math" w:cs="Arial" w:eastAsiaTheme="minorEastAsia"/>
                    <w:i/>
                    <w:sz w:val="24"/>
                    <w:szCs w:val="24"/>
                  </w:rPr>
                </m:ctrlPr>
              </m:e>
              <m:sub>
                <m:r>
                  <m:rPr/>
                  <w:rPr>
                    <w:rFonts w:ascii="Cambria Math" w:hAnsi="Cambria Math" w:cs="Arial" w:eastAsiaTheme="minorEastAsia"/>
                    <w:sz w:val="24"/>
                    <w:szCs w:val="24"/>
                  </w:rPr>
                  <m:t>pc,m</m:t>
                </m:r>
                <m:ctrlPr>
                  <w:rPr>
                    <w:rFonts w:ascii="Cambria Math" w:hAnsi="Cambria Math" w:cs="Arial" w:eastAsiaTheme="minorEastAsia"/>
                    <w:i/>
                    <w:sz w:val="24"/>
                    <w:szCs w:val="24"/>
                  </w:rPr>
                </m:ctrlPr>
              </m:sub>
            </m:sSub>
            <m:ctrlPr>
              <w:rPr>
                <w:rFonts w:ascii="Cambria Math" w:hAnsi="Cambria Math" w:cs="Arial" w:eastAsiaTheme="minorEastAsia"/>
                <w:i/>
                <w:sz w:val="24"/>
                <w:szCs w:val="24"/>
              </w:rPr>
            </m:ctrlPr>
          </m:e>
        </m:d>
        <m:r>
          <m:rPr/>
          <w:rPr>
            <w:rFonts w:ascii="Cambria Math" w:hAnsi="Cambria Math" w:cs="Arial" w:eastAsiaTheme="minorEastAsia"/>
            <w:sz w:val="24"/>
            <w:szCs w:val="24"/>
          </w:rPr>
          <m:t>η</m:t>
        </m:r>
        <m:sSub>
          <m:sSubPr>
            <m:ctrlPr>
              <w:rPr>
                <w:rFonts w:ascii="Cambria Math" w:hAnsi="Cambria Math" w:cs="Arial" w:eastAsiaTheme="minorEastAsia"/>
                <w:i/>
                <w:sz w:val="24"/>
                <w:szCs w:val="24"/>
              </w:rPr>
            </m:ctrlPr>
          </m:sSubPr>
          <m:e>
            <m:r>
              <m:rPr/>
              <w:rPr>
                <w:rFonts w:ascii="Cambria Math" w:hAnsi="Cambria Math" w:cs="Arial" w:eastAsiaTheme="minorEastAsia"/>
                <w:sz w:val="24"/>
                <w:szCs w:val="24"/>
              </w:rPr>
              <m:t>u</m:t>
            </m:r>
            <m:ctrlPr>
              <w:rPr>
                <w:rFonts w:ascii="Cambria Math" w:hAnsi="Cambria Math" w:cs="Arial" w:eastAsiaTheme="minorEastAsia"/>
                <w:i/>
                <w:sz w:val="24"/>
                <w:szCs w:val="24"/>
              </w:rPr>
            </m:ctrlPr>
          </m:e>
          <m:sub>
            <m:r>
              <m:rPr/>
              <w:rPr>
                <w:rFonts w:ascii="Cambria Math" w:hAnsi="Cambria Math" w:cs="Arial" w:eastAsiaTheme="minorEastAsia"/>
                <w:sz w:val="24"/>
                <w:szCs w:val="24"/>
              </w:rPr>
              <m:t>m</m:t>
            </m:r>
            <m:ctrlPr>
              <w:rPr>
                <w:rFonts w:ascii="Cambria Math" w:hAnsi="Cambria Math" w:cs="Arial" w:eastAsiaTheme="minorEastAsia"/>
                <w:i/>
                <w:sz w:val="24"/>
                <w:szCs w:val="24"/>
              </w:rPr>
            </m:ctrlPr>
          </m:sub>
        </m:sSub>
        <m:sSub>
          <m:sSubPr>
            <m:ctrlPr>
              <w:rPr>
                <w:rFonts w:ascii="Cambria Math" w:hAnsi="Cambria Math" w:cs="Arial" w:eastAsiaTheme="minorEastAsia"/>
                <w:i/>
                <w:sz w:val="24"/>
                <w:szCs w:val="24"/>
              </w:rPr>
            </m:ctrlPr>
          </m:sSubPr>
          <m:e>
            <m:r>
              <m:rPr/>
              <w:rPr>
                <w:rFonts w:ascii="Cambria Math" w:hAnsi="Cambria Math" w:cs="Arial" w:eastAsiaTheme="minorEastAsia"/>
                <w:sz w:val="24"/>
                <w:szCs w:val="24"/>
              </w:rPr>
              <m:t>ℎ</m:t>
            </m:r>
            <m:ctrlPr>
              <w:rPr>
                <w:rFonts w:ascii="Cambria Math" w:hAnsi="Cambria Math" w:cs="Arial" w:eastAsiaTheme="minorEastAsia"/>
                <w:i/>
                <w:sz w:val="24"/>
                <w:szCs w:val="24"/>
              </w:rPr>
            </m:ctrlPr>
          </m:e>
          <m:sub>
            <m:r>
              <m:rPr/>
              <w:rPr>
                <w:rFonts w:ascii="Cambria Math" w:hAnsi="Cambria Math" w:cs="Arial" w:eastAsiaTheme="minorEastAsia"/>
                <w:sz w:val="24"/>
                <w:szCs w:val="24"/>
              </w:rPr>
              <m:t>0</m:t>
            </m:r>
            <m:ctrlPr>
              <w:rPr>
                <w:rFonts w:ascii="Cambria Math" w:hAnsi="Cambria Math" w:cs="Arial" w:eastAsiaTheme="minorEastAsia"/>
                <w:i/>
                <w:sz w:val="24"/>
                <w:szCs w:val="24"/>
              </w:rPr>
            </m:ctrlPr>
          </m:sub>
        </m:sSub>
      </m:oMath>
      <w:r>
        <w:rPr>
          <w:rFonts w:hint="eastAsia" w:cs="Arial" w:asciiTheme="minorEastAsia" w:hAnsiTheme="minorEastAsia" w:eastAsiaTheme="minorEastAsia"/>
          <w:sz w:val="24"/>
          <w:szCs w:val="24"/>
        </w:rPr>
        <w:t xml:space="preserve">           (6.6.7-1)</w:t>
      </w:r>
    </w:p>
    <w:p>
      <w:pPr>
        <w:spacing w:line="360" w:lineRule="auto"/>
        <w:ind w:firstLine="420" w:firstLineChars="200"/>
        <w:rPr>
          <w:rFonts w:ascii="Arial" w:hAnsi="Arial" w:cs="Arial"/>
          <w:kern w:val="0"/>
          <w:sz w:val="24"/>
          <w:szCs w:val="24"/>
        </w:rPr>
      </w:pPr>
      <w:r>
        <w:rPr>
          <w:rFonts w:hint="eastAsia" w:ascii="Arial" w:hAnsi="Arial" w:cs="Arial"/>
          <w:szCs w:val="21"/>
        </w:rPr>
        <w:t xml:space="preserve">  </w:t>
      </w:r>
      <w:r>
        <w:rPr>
          <w:rFonts w:hint="eastAsia" w:ascii="Arial" w:hAnsi="Arial" w:cs="Arial"/>
          <w:kern w:val="0"/>
          <w:sz w:val="24"/>
          <w:szCs w:val="24"/>
        </w:rPr>
        <w:t>公式（6.6.7-1）中的系数η，应按下列两个公式计算，并取其中较小值：</w:t>
      </w:r>
    </w:p>
    <w:p>
      <w:pPr>
        <w:spacing w:before="156" w:beforeLines="50" w:after="156" w:afterLines="50"/>
        <w:ind w:right="-50" w:rightChars="-24"/>
        <w:jc w:val="right"/>
        <w:rPr>
          <w:rFonts w:ascii="宋体" w:hAnsi="宋体" w:cs="Arial"/>
          <w:sz w:val="24"/>
          <w:szCs w:val="24"/>
        </w:rPr>
      </w:pPr>
      <m:oMath>
        <m:sSub>
          <m:sSubPr>
            <m:ctrlPr>
              <w:rPr>
                <w:rFonts w:ascii="Cambria Math" w:hAnsi="Cambria Math" w:cs="Arial"/>
                <w:sz w:val="24"/>
                <w:szCs w:val="24"/>
              </w:rPr>
            </m:ctrlPr>
          </m:sSubPr>
          <m:e>
            <m:r>
              <m:rPr>
                <m:sty m:val="p"/>
              </m:rPr>
              <w:rPr>
                <w:rFonts w:ascii="Cambria Math" w:hAnsi="Cambria Math" w:cs="Arial"/>
                <w:sz w:val="24"/>
                <w:szCs w:val="24"/>
              </w:rPr>
              <m:t>η</m:t>
            </m:r>
            <m:ctrlPr>
              <w:rPr>
                <w:rFonts w:ascii="Cambria Math" w:hAnsi="Cambria Math" w:cs="Arial"/>
                <w:sz w:val="24"/>
                <w:szCs w:val="24"/>
              </w:rPr>
            </m:ctrlPr>
          </m:e>
          <m:sub>
            <m:r>
              <m:rPr/>
              <w:rPr>
                <w:rFonts w:ascii="Cambria Math" w:hAnsi="Cambria Math" w:cs="Arial"/>
                <w:sz w:val="24"/>
                <w:szCs w:val="24"/>
              </w:rPr>
              <m:t>1</m:t>
            </m:r>
            <m:ctrlPr>
              <w:rPr>
                <w:rFonts w:ascii="Cambria Math" w:hAnsi="Cambria Math" w:cs="Arial"/>
                <w:sz w:val="24"/>
                <w:szCs w:val="24"/>
              </w:rPr>
            </m:ctrlPr>
          </m:sub>
        </m:sSub>
        <m:r>
          <m:rPr>
            <m:sty m:val="p"/>
          </m:rPr>
          <w:rPr>
            <w:rFonts w:ascii="Cambria Math" w:hAnsi="Cambria Math" w:cs="Arial"/>
            <w:sz w:val="24"/>
            <w:szCs w:val="24"/>
          </w:rPr>
          <m:t>=0.4+</m:t>
        </m:r>
        <m:f>
          <m:fPr>
            <m:ctrlPr>
              <w:rPr>
                <w:rFonts w:ascii="Cambria Math" w:hAnsi="Cambria Math" w:cs="Arial"/>
                <w:sz w:val="24"/>
                <w:szCs w:val="24"/>
              </w:rPr>
            </m:ctrlPr>
          </m:fPr>
          <m:num>
            <m:r>
              <m:rPr/>
              <w:rPr>
                <w:rFonts w:ascii="Cambria Math" w:hAnsi="Cambria Math" w:cs="Arial"/>
                <w:sz w:val="24"/>
                <w:szCs w:val="24"/>
              </w:rPr>
              <m:t>1.2</m:t>
            </m:r>
            <m:ctrlPr>
              <w:rPr>
                <w:rFonts w:ascii="Cambria Math" w:hAnsi="Cambria Math" w:cs="Arial"/>
                <w:sz w:val="24"/>
                <w:szCs w:val="24"/>
              </w:rPr>
            </m:ctrlPr>
          </m:num>
          <m:den>
            <m:sSub>
              <m:sSubPr>
                <m:ctrlPr>
                  <w:rPr>
                    <w:rFonts w:ascii="Cambria Math" w:hAnsi="Cambria Math" w:cs="Arial"/>
                    <w:i/>
                    <w:sz w:val="24"/>
                    <w:szCs w:val="24"/>
                  </w:rPr>
                </m:ctrlPr>
              </m:sSubPr>
              <m:e>
                <m:r>
                  <m:rPr/>
                  <w:rPr>
                    <w:rFonts w:ascii="Cambria Math" w:hAnsi="Cambria Math" w:cs="Arial"/>
                    <w:sz w:val="24"/>
                    <w:szCs w:val="24"/>
                  </w:rPr>
                  <m:t>β</m:t>
                </m:r>
                <m:ctrlPr>
                  <w:rPr>
                    <w:rFonts w:ascii="Cambria Math" w:hAnsi="Cambria Math" w:cs="Arial"/>
                    <w:i/>
                    <w:sz w:val="24"/>
                    <w:szCs w:val="24"/>
                  </w:rPr>
                </m:ctrlPr>
              </m:e>
              <m:sub>
                <m:r>
                  <m:rPr/>
                  <w:rPr>
                    <w:rFonts w:ascii="Cambria Math" w:hAnsi="Cambria Math" w:cs="Arial"/>
                    <w:sz w:val="24"/>
                    <w:szCs w:val="24"/>
                  </w:rPr>
                  <m:t>S</m:t>
                </m:r>
                <m:ctrlPr>
                  <w:rPr>
                    <w:rFonts w:ascii="Cambria Math" w:hAnsi="Cambria Math" w:cs="Arial"/>
                    <w:i/>
                    <w:sz w:val="24"/>
                    <w:szCs w:val="24"/>
                  </w:rPr>
                </m:ctrlPr>
              </m:sub>
            </m:sSub>
            <m:ctrlPr>
              <w:rPr>
                <w:rFonts w:ascii="Cambria Math" w:hAnsi="Cambria Math" w:cs="Arial"/>
                <w:sz w:val="24"/>
                <w:szCs w:val="24"/>
              </w:rPr>
            </m:ctrlPr>
          </m:den>
        </m:f>
      </m:oMath>
      <w:r>
        <w:rPr>
          <w:rFonts w:hint="eastAsia" w:ascii="宋体" w:hAnsi="宋体" w:cs="Arial"/>
          <w:sz w:val="24"/>
          <w:szCs w:val="24"/>
        </w:rPr>
        <w:t xml:space="preserve">                     （6.6.7-2）</w:t>
      </w:r>
    </w:p>
    <w:p>
      <w:pPr>
        <w:spacing w:before="156" w:beforeLines="50" w:after="156" w:afterLines="50"/>
        <w:ind w:right="-50" w:rightChars="-24"/>
        <w:jc w:val="right"/>
        <w:rPr>
          <w:rFonts w:ascii="宋体" w:hAnsi="宋体" w:cs="Arial"/>
          <w:sz w:val="24"/>
          <w:szCs w:val="24"/>
        </w:rPr>
      </w:pPr>
      <m:oMath>
        <m:sSub>
          <m:sSubPr>
            <m:ctrlPr>
              <w:rPr>
                <w:rFonts w:ascii="Cambria Math" w:hAnsi="Cambria Math" w:cs="Arial"/>
                <w:sz w:val="24"/>
                <w:szCs w:val="24"/>
              </w:rPr>
            </m:ctrlPr>
          </m:sSubPr>
          <m:e>
            <m:r>
              <m:rPr>
                <m:sty m:val="p"/>
              </m:rPr>
              <w:rPr>
                <w:rFonts w:ascii="Cambria Math" w:hAnsi="Cambria Math" w:cs="Arial"/>
                <w:sz w:val="24"/>
                <w:szCs w:val="24"/>
              </w:rPr>
              <m:t>η</m:t>
            </m:r>
            <m:ctrlPr>
              <w:rPr>
                <w:rFonts w:ascii="Cambria Math" w:hAnsi="Cambria Math" w:cs="Arial"/>
                <w:sz w:val="24"/>
                <w:szCs w:val="24"/>
              </w:rPr>
            </m:ctrlPr>
          </m:e>
          <m:sub>
            <m:r>
              <m:rPr/>
              <w:rPr>
                <w:rFonts w:ascii="Cambria Math" w:hAnsi="Cambria Math" w:cs="Arial"/>
                <w:sz w:val="24"/>
                <w:szCs w:val="24"/>
              </w:rPr>
              <m:t>2</m:t>
            </m:r>
            <m:ctrlPr>
              <w:rPr>
                <w:rFonts w:ascii="Cambria Math" w:hAnsi="Cambria Math" w:cs="Arial"/>
                <w:sz w:val="24"/>
                <w:szCs w:val="24"/>
              </w:rPr>
            </m:ctrlPr>
          </m:sub>
        </m:sSub>
        <m:r>
          <m:rPr>
            <m:sty m:val="p"/>
          </m:rPr>
          <w:rPr>
            <w:rFonts w:ascii="Cambria Math" w:hAnsi="Cambria Math" w:cs="Arial"/>
            <w:sz w:val="24"/>
            <w:szCs w:val="24"/>
          </w:rPr>
          <m:t>=0.5+</m:t>
        </m:r>
        <m:f>
          <m:fPr>
            <m:ctrlPr>
              <w:rPr>
                <w:rFonts w:ascii="Cambria Math" w:hAnsi="Cambria Math" w:cs="Arial"/>
                <w:sz w:val="24"/>
                <w:szCs w:val="24"/>
              </w:rPr>
            </m:ctrlPr>
          </m:fPr>
          <m:num>
            <m:sSub>
              <m:sSubPr>
                <m:ctrlPr>
                  <w:rPr>
                    <w:rFonts w:ascii="Cambria Math" w:hAnsi="Cambria Math" w:cs="Arial"/>
                    <w:i/>
                    <w:sz w:val="24"/>
                    <w:szCs w:val="24"/>
                  </w:rPr>
                </m:ctrlPr>
              </m:sSubPr>
              <m:e>
                <m:r>
                  <m:rPr/>
                  <w:rPr>
                    <w:rFonts w:ascii="Cambria Math" w:hAnsi="Cambria Math" w:cs="Arial"/>
                    <w:sz w:val="24"/>
                    <w:szCs w:val="24"/>
                  </w:rPr>
                  <m:t>α</m:t>
                </m:r>
                <m:ctrlPr>
                  <w:rPr>
                    <w:rFonts w:ascii="Cambria Math" w:hAnsi="Cambria Math" w:cs="Arial"/>
                    <w:i/>
                    <w:sz w:val="24"/>
                    <w:szCs w:val="24"/>
                  </w:rPr>
                </m:ctrlPr>
              </m:e>
              <m:sub>
                <m:r>
                  <m:rPr/>
                  <w:rPr>
                    <w:rFonts w:ascii="Cambria Math" w:hAnsi="Cambria Math" w:cs="Arial"/>
                    <w:sz w:val="24"/>
                    <w:szCs w:val="24"/>
                  </w:rPr>
                  <m:t>s</m:t>
                </m:r>
                <m:ctrlPr>
                  <w:rPr>
                    <w:rFonts w:ascii="Cambria Math" w:hAnsi="Cambria Math" w:cs="Arial"/>
                    <w:i/>
                    <w:sz w:val="24"/>
                    <w:szCs w:val="24"/>
                  </w:rPr>
                </m:ctrlPr>
              </m:sub>
            </m:sSub>
            <m:sSub>
              <m:sSubPr>
                <m:ctrlPr>
                  <w:rPr>
                    <w:rFonts w:ascii="Cambria Math" w:hAnsi="Cambria Math" w:cs="Arial"/>
                    <w:i/>
                    <w:sz w:val="24"/>
                    <w:szCs w:val="24"/>
                  </w:rPr>
                </m:ctrlPr>
              </m:sSubPr>
              <m:e>
                <m:r>
                  <m:rPr/>
                  <w:rPr>
                    <w:rFonts w:ascii="Cambria Math" w:hAnsi="Cambria Math" w:cs="Arial"/>
                    <w:sz w:val="24"/>
                    <w:szCs w:val="24"/>
                  </w:rPr>
                  <m:t>ℎ</m:t>
                </m:r>
                <m:ctrlPr>
                  <w:rPr>
                    <w:rFonts w:ascii="Cambria Math" w:hAnsi="Cambria Math" w:cs="Arial"/>
                    <w:i/>
                    <w:sz w:val="24"/>
                    <w:szCs w:val="24"/>
                  </w:rPr>
                </m:ctrlPr>
              </m:e>
              <m:sub>
                <m:r>
                  <m:rPr/>
                  <w:rPr>
                    <w:rFonts w:ascii="Cambria Math" w:hAnsi="Cambria Math" w:cs="Arial"/>
                    <w:sz w:val="24"/>
                    <w:szCs w:val="24"/>
                  </w:rPr>
                  <m:t>0</m:t>
                </m:r>
                <m:ctrlPr>
                  <w:rPr>
                    <w:rFonts w:ascii="Cambria Math" w:hAnsi="Cambria Math" w:cs="Arial"/>
                    <w:i/>
                    <w:sz w:val="24"/>
                    <w:szCs w:val="24"/>
                  </w:rPr>
                </m:ctrlPr>
              </m:sub>
            </m:sSub>
            <m:ctrlPr>
              <w:rPr>
                <w:rFonts w:ascii="Cambria Math" w:hAnsi="Cambria Math" w:cs="Arial"/>
                <w:sz w:val="24"/>
                <w:szCs w:val="24"/>
              </w:rPr>
            </m:ctrlPr>
          </m:num>
          <m:den>
            <m:r>
              <m:rPr/>
              <w:rPr>
                <w:rFonts w:ascii="Cambria Math" w:hAnsi="Cambria Math" w:cs="Arial"/>
                <w:sz w:val="24"/>
                <w:szCs w:val="24"/>
              </w:rPr>
              <m:t>4</m:t>
            </m:r>
            <m:sSub>
              <m:sSubPr>
                <m:ctrlPr>
                  <w:rPr>
                    <w:rFonts w:ascii="Cambria Math" w:hAnsi="Cambria Math" w:cs="Arial"/>
                    <w:i/>
                    <w:sz w:val="24"/>
                    <w:szCs w:val="24"/>
                  </w:rPr>
                </m:ctrlPr>
              </m:sSubPr>
              <m:e>
                <m:r>
                  <m:rPr/>
                  <w:rPr>
                    <w:rFonts w:ascii="Cambria Math" w:hAnsi="Cambria Math" w:cs="Arial"/>
                    <w:sz w:val="24"/>
                    <w:szCs w:val="24"/>
                  </w:rPr>
                  <m:t>u</m:t>
                </m:r>
                <m:ctrlPr>
                  <w:rPr>
                    <w:rFonts w:ascii="Cambria Math" w:hAnsi="Cambria Math" w:cs="Arial"/>
                    <w:i/>
                    <w:sz w:val="24"/>
                    <w:szCs w:val="24"/>
                  </w:rPr>
                </m:ctrlPr>
              </m:e>
              <m:sub>
                <m:r>
                  <m:rPr/>
                  <w:rPr>
                    <w:rFonts w:ascii="Cambria Math" w:hAnsi="Cambria Math" w:cs="Arial"/>
                    <w:sz w:val="24"/>
                    <w:szCs w:val="24"/>
                  </w:rPr>
                  <m:t>m</m:t>
                </m:r>
                <m:ctrlPr>
                  <w:rPr>
                    <w:rFonts w:ascii="Cambria Math" w:hAnsi="Cambria Math" w:cs="Arial"/>
                    <w:i/>
                    <w:sz w:val="24"/>
                    <w:szCs w:val="24"/>
                  </w:rPr>
                </m:ctrlPr>
              </m:sub>
            </m:sSub>
            <m:ctrlPr>
              <w:rPr>
                <w:rFonts w:ascii="Cambria Math" w:hAnsi="Cambria Math" w:cs="Arial"/>
                <w:sz w:val="24"/>
                <w:szCs w:val="24"/>
              </w:rPr>
            </m:ctrlPr>
          </m:den>
        </m:f>
      </m:oMath>
      <w:r>
        <w:rPr>
          <w:rFonts w:hint="eastAsia" w:ascii="宋体" w:hAnsi="宋体" w:cs="Arial"/>
          <w:sz w:val="24"/>
          <w:szCs w:val="24"/>
        </w:rPr>
        <w:t xml:space="preserve">                   （6.6.7-3）</w:t>
      </w:r>
    </w:p>
    <w:p>
      <w:pPr>
        <w:spacing w:before="156" w:beforeLines="50" w:after="156" w:afterLines="50" w:line="360" w:lineRule="auto"/>
        <w:ind w:left="2400" w:right="88" w:rightChars="42" w:hanging="2400" w:hangingChars="1000"/>
        <w:rPr>
          <w:rFonts w:ascii="宋体" w:hAnsi="宋体" w:cs="Arial"/>
          <w:sz w:val="24"/>
          <w:szCs w:val="24"/>
        </w:rPr>
      </w:pPr>
      <w:r>
        <w:rPr>
          <w:rFonts w:hint="eastAsia" w:ascii="宋体" w:hAnsi="宋体" w:cs="Arial"/>
          <w:sz w:val="24"/>
          <w:szCs w:val="24"/>
        </w:rPr>
        <w:t>式中：   F</w:t>
      </w:r>
      <w:r>
        <w:rPr>
          <w:rFonts w:hint="eastAsia" w:ascii="宋体" w:hAnsi="宋体" w:cs="Arial"/>
          <w:sz w:val="24"/>
          <w:szCs w:val="24"/>
          <w:vertAlign w:val="subscript"/>
        </w:rPr>
        <w:t>l,eq</w:t>
      </w:r>
      <w:r>
        <w:rPr>
          <w:rFonts w:hint="eastAsia" w:ascii="宋体" w:hAnsi="宋体" w:cs="Arial"/>
          <w:sz w:val="24"/>
          <w:szCs w:val="24"/>
        </w:rPr>
        <w:t xml:space="preserve">  ———等效集中反力设计值，计入不平衡地震组合弯矩引起的冲切，按现行国标《混凝土结构设计规范》（GB50010）取值，节点处地震组合弯矩设计值的增大系数，一、二、三级可分别取1.7、1.5、1.3；</w:t>
      </w:r>
    </w:p>
    <w:p>
      <w:pPr>
        <w:spacing w:before="156" w:beforeLines="50" w:after="156" w:afterLines="50" w:line="360" w:lineRule="auto"/>
        <w:ind w:left="2400" w:right="88" w:rightChars="42" w:hanging="2400" w:hangingChars="1000"/>
        <w:rPr>
          <w:rFonts w:ascii="宋体" w:hAnsi="宋体" w:cs="Arial"/>
          <w:sz w:val="24"/>
          <w:szCs w:val="24"/>
        </w:rPr>
      </w:pPr>
      <w:r>
        <w:rPr>
          <w:rFonts w:hint="eastAsia" w:ascii="宋体" w:hAnsi="宋体" w:cs="Arial"/>
          <w:sz w:val="24"/>
          <w:szCs w:val="24"/>
        </w:rPr>
        <w:t xml:space="preserve">         β</w:t>
      </w:r>
      <w:r>
        <w:rPr>
          <w:rFonts w:hint="eastAsia" w:ascii="宋体" w:hAnsi="宋体" w:cs="Arial"/>
          <w:sz w:val="24"/>
          <w:szCs w:val="24"/>
          <w:vertAlign w:val="subscript"/>
        </w:rPr>
        <w:t>h</w:t>
      </w:r>
      <w:r>
        <w:rPr>
          <w:rFonts w:hint="eastAsia" w:ascii="宋体" w:hAnsi="宋体" w:cs="Arial"/>
          <w:sz w:val="24"/>
          <w:szCs w:val="24"/>
        </w:rPr>
        <w:t xml:space="preserve">   ———截面高度影响系数，当h不大于800mm时，取为1.0，当h不小于2000mm时，取为0.9，其间按线性内插法取用；</w:t>
      </w:r>
    </w:p>
    <w:p>
      <w:pPr>
        <w:spacing w:before="156" w:beforeLines="50" w:after="156" w:afterLines="50" w:line="360" w:lineRule="auto"/>
        <w:ind w:left="2400" w:right="88" w:rightChars="42" w:hanging="2400" w:hangingChars="1000"/>
        <w:rPr>
          <w:rFonts w:ascii="宋体" w:hAnsi="宋体" w:cs="Arial"/>
          <w:sz w:val="24"/>
          <w:szCs w:val="24"/>
        </w:rPr>
      </w:pPr>
      <w:r>
        <w:rPr>
          <w:rFonts w:hint="eastAsia" w:ascii="宋体" w:hAnsi="宋体" w:cs="Arial"/>
          <w:sz w:val="24"/>
          <w:szCs w:val="24"/>
        </w:rPr>
        <w:t xml:space="preserve">         σ</w:t>
      </w:r>
      <w:r>
        <w:rPr>
          <w:rFonts w:hint="eastAsia" w:ascii="宋体" w:hAnsi="宋体" w:cs="Arial"/>
          <w:sz w:val="24"/>
          <w:szCs w:val="24"/>
          <w:vertAlign w:val="subscript"/>
        </w:rPr>
        <w:t>pc,m</w:t>
      </w:r>
      <w:r>
        <w:rPr>
          <w:rFonts w:hint="eastAsia" w:ascii="宋体" w:hAnsi="宋体" w:cs="Arial"/>
          <w:sz w:val="24"/>
          <w:szCs w:val="24"/>
        </w:rPr>
        <w:t xml:space="preserve"> ———临界截面周长上两个方向混凝土有效预压应力按长度的加权平均值，其值宜控制在1.0N/mm</w:t>
      </w:r>
      <w:r>
        <w:rPr>
          <w:rFonts w:hint="eastAsia" w:ascii="宋体" w:hAnsi="宋体" w:cs="Arial"/>
          <w:sz w:val="24"/>
          <w:szCs w:val="24"/>
          <w:vertAlign w:val="superscript"/>
        </w:rPr>
        <w:t>2</w:t>
      </w:r>
      <w:r>
        <w:rPr>
          <w:rFonts w:hint="eastAsia" w:ascii="宋体" w:hAnsi="宋体" w:cs="Arial"/>
          <w:sz w:val="24"/>
          <w:szCs w:val="24"/>
        </w:rPr>
        <w:t>～3.5 N/mm</w:t>
      </w:r>
      <w:r>
        <w:rPr>
          <w:rFonts w:hint="eastAsia" w:ascii="宋体" w:hAnsi="宋体" w:cs="Arial"/>
          <w:sz w:val="24"/>
          <w:szCs w:val="24"/>
          <w:vertAlign w:val="superscript"/>
        </w:rPr>
        <w:t>2</w:t>
      </w:r>
      <w:r>
        <w:rPr>
          <w:rFonts w:hint="eastAsia" w:ascii="宋体" w:hAnsi="宋体" w:cs="Arial"/>
          <w:sz w:val="24"/>
          <w:szCs w:val="24"/>
        </w:rPr>
        <w:t>范围内；</w:t>
      </w:r>
    </w:p>
    <w:p>
      <w:pPr>
        <w:spacing w:before="156" w:beforeLines="50" w:after="156" w:afterLines="50" w:line="360" w:lineRule="auto"/>
        <w:ind w:left="2400" w:right="88" w:rightChars="42" w:hanging="2400" w:hangingChars="1000"/>
        <w:rPr>
          <w:rFonts w:ascii="宋体" w:hAnsi="宋体" w:cs="Arial"/>
          <w:sz w:val="24"/>
          <w:szCs w:val="24"/>
        </w:rPr>
      </w:pPr>
      <w:r>
        <w:rPr>
          <w:rFonts w:hint="eastAsia" w:ascii="宋体" w:hAnsi="宋体" w:cs="Arial"/>
          <w:sz w:val="24"/>
          <w:szCs w:val="24"/>
        </w:rPr>
        <w:t xml:space="preserve">         u</w:t>
      </w:r>
      <w:r>
        <w:rPr>
          <w:rFonts w:hint="eastAsia" w:ascii="宋体" w:hAnsi="宋体" w:cs="Arial"/>
          <w:sz w:val="24"/>
          <w:szCs w:val="24"/>
          <w:vertAlign w:val="subscript"/>
        </w:rPr>
        <w:t>m</w:t>
      </w:r>
      <w:r>
        <w:rPr>
          <w:rFonts w:hint="eastAsia" w:ascii="宋体" w:hAnsi="宋体" w:cs="Arial"/>
          <w:sz w:val="24"/>
          <w:szCs w:val="24"/>
        </w:rPr>
        <w:t xml:space="preserve">   ———临界截面的周长，取距离局部荷载或集中反力作用面积周边h</w:t>
      </w:r>
      <w:r>
        <w:rPr>
          <w:rFonts w:hint="eastAsia" w:ascii="宋体" w:hAnsi="宋体" w:cs="Arial"/>
          <w:sz w:val="24"/>
          <w:szCs w:val="24"/>
          <w:vertAlign w:val="subscript"/>
        </w:rPr>
        <w:t>0</w:t>
      </w:r>
      <w:r>
        <w:rPr>
          <w:rFonts w:hint="eastAsia" w:ascii="宋体" w:hAnsi="宋体" w:cs="Arial"/>
          <w:sz w:val="24"/>
          <w:szCs w:val="24"/>
        </w:rPr>
        <w:t>/2处板垂直截面的最不利周长；</w:t>
      </w:r>
    </w:p>
    <w:p>
      <w:pPr>
        <w:spacing w:before="156" w:beforeLines="50" w:after="156" w:afterLines="50"/>
        <w:ind w:left="2400" w:right="88" w:rightChars="42" w:hanging="2400" w:hangingChars="1000"/>
        <w:rPr>
          <w:rFonts w:ascii="宋体" w:hAnsi="宋体" w:cs="Arial"/>
          <w:sz w:val="24"/>
          <w:szCs w:val="24"/>
        </w:rPr>
      </w:pPr>
      <w:r>
        <w:rPr>
          <w:rFonts w:hint="eastAsia" w:ascii="宋体" w:hAnsi="宋体" w:cs="Arial"/>
          <w:sz w:val="24"/>
          <w:szCs w:val="24"/>
        </w:rPr>
        <w:t xml:space="preserve">         h</w:t>
      </w:r>
      <w:r>
        <w:rPr>
          <w:rFonts w:hint="eastAsia" w:ascii="宋体" w:hAnsi="宋体" w:cs="Arial"/>
          <w:sz w:val="24"/>
          <w:szCs w:val="24"/>
          <w:vertAlign w:val="subscript"/>
        </w:rPr>
        <w:t>0</w:t>
      </w:r>
      <w:r>
        <w:rPr>
          <w:rFonts w:hint="eastAsia" w:ascii="宋体" w:hAnsi="宋体" w:cs="Arial"/>
          <w:sz w:val="24"/>
          <w:szCs w:val="24"/>
        </w:rPr>
        <w:t xml:space="preserve">   ———截面有效高度，取两个方向配筋的截面有效高度平均值；</w:t>
      </w:r>
    </w:p>
    <w:p>
      <w:pPr>
        <w:spacing w:before="156" w:beforeLines="50" w:after="156" w:afterLines="50"/>
        <w:ind w:left="2400" w:right="88" w:rightChars="42" w:hanging="2400" w:hangingChars="1000"/>
        <w:rPr>
          <w:rFonts w:ascii="宋体" w:hAnsi="宋体" w:cs="Arial"/>
          <w:sz w:val="24"/>
          <w:szCs w:val="24"/>
        </w:rPr>
      </w:pPr>
      <w:r>
        <w:rPr>
          <w:rFonts w:hint="eastAsia" w:ascii="宋体" w:hAnsi="宋体" w:cs="Arial"/>
          <w:sz w:val="24"/>
          <w:szCs w:val="24"/>
        </w:rPr>
        <w:t xml:space="preserve">         η</w:t>
      </w:r>
      <w:r>
        <w:rPr>
          <w:rFonts w:hint="eastAsia" w:ascii="宋体" w:hAnsi="宋体" w:cs="Arial"/>
          <w:sz w:val="24"/>
          <w:szCs w:val="24"/>
          <w:vertAlign w:val="subscript"/>
        </w:rPr>
        <w:t>1</w:t>
      </w:r>
      <w:r>
        <w:rPr>
          <w:rFonts w:hint="eastAsia" w:ascii="宋体" w:hAnsi="宋体" w:cs="Arial"/>
          <w:sz w:val="24"/>
          <w:szCs w:val="24"/>
        </w:rPr>
        <w:t xml:space="preserve">  ———局部荷载或集中反力作用面积形状的影响系数；</w:t>
      </w:r>
    </w:p>
    <w:p>
      <w:pPr>
        <w:spacing w:before="156" w:beforeLines="50" w:after="156" w:afterLines="50"/>
        <w:ind w:left="2400" w:right="88" w:rightChars="42" w:hanging="2400" w:hangingChars="1000"/>
        <w:rPr>
          <w:rFonts w:ascii="宋体" w:hAnsi="宋体" w:cs="Arial"/>
          <w:sz w:val="24"/>
          <w:szCs w:val="24"/>
        </w:rPr>
      </w:pPr>
      <w:r>
        <w:rPr>
          <w:rFonts w:hint="eastAsia" w:ascii="宋体" w:hAnsi="宋体" w:cs="Arial"/>
          <w:sz w:val="24"/>
          <w:szCs w:val="24"/>
        </w:rPr>
        <w:t xml:space="preserve">         η</w:t>
      </w:r>
      <w:r>
        <w:rPr>
          <w:rFonts w:hint="eastAsia" w:ascii="宋体" w:hAnsi="宋体" w:cs="Arial"/>
          <w:sz w:val="24"/>
          <w:szCs w:val="24"/>
          <w:vertAlign w:val="subscript"/>
        </w:rPr>
        <w:t>2</w:t>
      </w:r>
      <w:r>
        <w:rPr>
          <w:rFonts w:hint="eastAsia" w:ascii="宋体" w:hAnsi="宋体" w:cs="Arial"/>
          <w:sz w:val="24"/>
          <w:szCs w:val="24"/>
        </w:rPr>
        <w:t xml:space="preserve">  ———计算截面周长与板截面有效高度之比的影响系数；</w:t>
      </w:r>
    </w:p>
    <w:p>
      <w:pPr>
        <w:spacing w:before="156" w:beforeLines="50" w:after="156" w:afterLines="50" w:line="360" w:lineRule="auto"/>
        <w:ind w:left="2400" w:right="88" w:rightChars="42" w:hanging="2400" w:hangingChars="1000"/>
        <w:rPr>
          <w:rFonts w:ascii="宋体" w:hAnsi="宋体" w:cs="Arial"/>
          <w:sz w:val="24"/>
          <w:szCs w:val="24"/>
        </w:rPr>
      </w:pPr>
      <w:r>
        <w:rPr>
          <w:rFonts w:hint="eastAsia" w:ascii="宋体" w:hAnsi="宋体" w:cs="Arial"/>
          <w:sz w:val="24"/>
          <w:szCs w:val="24"/>
        </w:rPr>
        <w:t xml:space="preserve">         β</w:t>
      </w:r>
      <w:r>
        <w:rPr>
          <w:rFonts w:hint="eastAsia" w:ascii="宋体" w:hAnsi="宋体" w:cs="Arial"/>
          <w:sz w:val="24"/>
          <w:szCs w:val="24"/>
          <w:vertAlign w:val="subscript"/>
        </w:rPr>
        <w:t>S</w:t>
      </w:r>
      <w:r>
        <w:rPr>
          <w:rFonts w:hint="eastAsia" w:ascii="宋体" w:hAnsi="宋体" w:cs="Arial"/>
          <w:sz w:val="24"/>
          <w:szCs w:val="24"/>
        </w:rPr>
        <w:t xml:space="preserve">  ———局部荷载或集中反力作用面积为矩形时的长边与短边尺寸的比值，β</w:t>
      </w:r>
      <w:r>
        <w:rPr>
          <w:rFonts w:hint="eastAsia" w:ascii="宋体" w:hAnsi="宋体" w:cs="Arial"/>
          <w:sz w:val="24"/>
          <w:szCs w:val="24"/>
          <w:vertAlign w:val="subscript"/>
        </w:rPr>
        <w:t>S</w:t>
      </w:r>
      <w:r>
        <w:rPr>
          <w:rFonts w:hint="eastAsia" w:ascii="宋体" w:hAnsi="宋体" w:cs="Arial"/>
          <w:sz w:val="24"/>
          <w:szCs w:val="24"/>
        </w:rPr>
        <w:t>不宜大于4，当β</w:t>
      </w:r>
      <w:r>
        <w:rPr>
          <w:rFonts w:hint="eastAsia" w:ascii="宋体" w:hAnsi="宋体" w:cs="Arial"/>
          <w:sz w:val="24"/>
          <w:szCs w:val="24"/>
          <w:vertAlign w:val="subscript"/>
        </w:rPr>
        <w:t>S</w:t>
      </w:r>
      <w:r>
        <w:rPr>
          <w:rFonts w:hint="eastAsia" w:ascii="宋体" w:hAnsi="宋体" w:cs="Arial"/>
          <w:sz w:val="24"/>
          <w:szCs w:val="24"/>
        </w:rPr>
        <w:t>小于2时取为2，对圆形冲切面，取为2；</w:t>
      </w:r>
    </w:p>
    <w:p>
      <w:pPr>
        <w:spacing w:line="360" w:lineRule="auto"/>
        <w:ind w:left="2400" w:hanging="2400" w:hangingChars="1000"/>
        <w:rPr>
          <w:rFonts w:ascii="Arial" w:hAnsi="Arial" w:cs="Arial"/>
          <w:szCs w:val="21"/>
        </w:rPr>
      </w:pPr>
      <w:r>
        <w:rPr>
          <w:rFonts w:hint="eastAsia" w:ascii="宋体" w:hAnsi="宋体" w:cs="Arial"/>
          <w:sz w:val="24"/>
          <w:szCs w:val="24"/>
        </w:rPr>
        <w:t xml:space="preserve">         α</w:t>
      </w:r>
      <w:r>
        <w:rPr>
          <w:rFonts w:hint="eastAsia" w:ascii="宋体" w:hAnsi="宋体" w:cs="Arial"/>
          <w:sz w:val="24"/>
          <w:szCs w:val="24"/>
          <w:vertAlign w:val="subscript"/>
        </w:rPr>
        <w:t>S</w:t>
      </w:r>
      <w:r>
        <w:rPr>
          <w:rFonts w:hint="eastAsia" w:ascii="宋体" w:hAnsi="宋体" w:cs="Arial"/>
          <w:sz w:val="24"/>
          <w:szCs w:val="24"/>
        </w:rPr>
        <w:t xml:space="preserve">  ———柱位置影响系数：对中柱，α</w:t>
      </w:r>
      <w:r>
        <w:rPr>
          <w:rFonts w:hint="eastAsia" w:ascii="宋体" w:hAnsi="宋体" w:cs="Arial"/>
          <w:sz w:val="24"/>
          <w:szCs w:val="24"/>
          <w:vertAlign w:val="subscript"/>
        </w:rPr>
        <w:t>S</w:t>
      </w:r>
      <w:r>
        <w:rPr>
          <w:rFonts w:hint="eastAsia" w:ascii="宋体" w:hAnsi="宋体" w:cs="Arial"/>
          <w:sz w:val="24"/>
          <w:szCs w:val="24"/>
        </w:rPr>
        <w:t>取为40；对边柱，α</w:t>
      </w:r>
      <w:r>
        <w:rPr>
          <w:rFonts w:hint="eastAsia" w:ascii="宋体" w:hAnsi="宋体" w:cs="Arial"/>
          <w:sz w:val="24"/>
          <w:szCs w:val="24"/>
          <w:vertAlign w:val="subscript"/>
        </w:rPr>
        <w:t>S</w:t>
      </w:r>
      <w:r>
        <w:rPr>
          <w:rFonts w:hint="eastAsia" w:ascii="宋体" w:hAnsi="宋体" w:cs="Arial"/>
          <w:sz w:val="24"/>
          <w:szCs w:val="24"/>
        </w:rPr>
        <w:t>取为30；对角柱，α</w:t>
      </w:r>
      <w:r>
        <w:rPr>
          <w:rFonts w:hint="eastAsia" w:ascii="宋体" w:hAnsi="宋体" w:cs="Arial"/>
          <w:sz w:val="24"/>
          <w:szCs w:val="24"/>
          <w:vertAlign w:val="subscript"/>
        </w:rPr>
        <w:t>S</w:t>
      </w:r>
      <w:r>
        <w:rPr>
          <w:rFonts w:hint="eastAsia" w:ascii="宋体" w:hAnsi="宋体" w:cs="Arial"/>
          <w:sz w:val="24"/>
          <w:szCs w:val="24"/>
        </w:rPr>
        <w:t>取为20；</w:t>
      </w:r>
    </w:p>
    <w:p>
      <w:pPr>
        <w:spacing w:line="360" w:lineRule="auto"/>
        <w:jc w:val="center"/>
        <w:rPr>
          <w:rFonts w:ascii="Arial" w:hAnsi="Arial" w:cs="Arial"/>
          <w:szCs w:val="21"/>
        </w:rPr>
      </w:pPr>
      <w:r>
        <w:drawing>
          <wp:inline distT="0" distB="0" distL="0" distR="0">
            <wp:extent cx="4093210" cy="3141980"/>
            <wp:effectExtent l="0" t="0" r="2540" b="1270"/>
            <wp:docPr id="57" name="图片 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true"/>
                    </pic:cNvPicPr>
                  </pic:nvPicPr>
                  <pic:blipFill>
                    <a:blip r:embed="rId55"/>
                    <a:stretch>
                      <a:fillRect/>
                    </a:stretch>
                  </pic:blipFill>
                  <pic:spPr>
                    <a:xfrm>
                      <a:off x="0" y="0"/>
                      <a:ext cx="4114657" cy="3158911"/>
                    </a:xfrm>
                    <a:prstGeom prst="rect">
                      <a:avLst/>
                    </a:prstGeom>
                  </pic:spPr>
                </pic:pic>
              </a:graphicData>
            </a:graphic>
          </wp:inline>
        </w:drawing>
      </w:r>
    </w:p>
    <w:p>
      <w:pPr>
        <w:spacing w:line="360" w:lineRule="auto"/>
        <w:rPr>
          <w:rFonts w:ascii="Arial" w:hAnsi="Arial" w:cs="Arial"/>
          <w:sz w:val="24"/>
          <w:szCs w:val="24"/>
        </w:rPr>
      </w:pPr>
      <w:r>
        <w:rPr>
          <w:rFonts w:hint="eastAsia" w:ascii="Arial" w:hAnsi="Arial" w:cs="Arial"/>
          <w:sz w:val="24"/>
          <w:szCs w:val="24"/>
        </w:rPr>
        <w:t xml:space="preserve">   2 当板开有孔洞且孔洞至局部荷载或集中反力作用面积边缘的距离不大于6h</w:t>
      </w:r>
      <w:r>
        <w:rPr>
          <w:rFonts w:hint="eastAsia" w:ascii="Arial" w:hAnsi="Arial" w:cs="Arial"/>
          <w:sz w:val="24"/>
          <w:szCs w:val="24"/>
          <w:vertAlign w:val="subscript"/>
        </w:rPr>
        <w:t>0</w:t>
      </w:r>
      <w:r>
        <w:rPr>
          <w:rFonts w:hint="eastAsia" w:ascii="Arial" w:hAnsi="Arial" w:cs="Arial"/>
          <w:sz w:val="24"/>
          <w:szCs w:val="24"/>
        </w:rPr>
        <w:t>时，受冲切承载力计算中取用的计算截面周长u</w:t>
      </w:r>
      <w:r>
        <w:rPr>
          <w:rFonts w:hint="eastAsia" w:ascii="Arial" w:hAnsi="Arial" w:cs="Arial"/>
          <w:sz w:val="24"/>
          <w:szCs w:val="24"/>
          <w:vertAlign w:val="subscript"/>
        </w:rPr>
        <w:t>m</w:t>
      </w:r>
      <w:r>
        <w:rPr>
          <w:rFonts w:hint="eastAsia" w:ascii="Arial" w:hAnsi="Arial" w:cs="Arial"/>
          <w:sz w:val="24"/>
          <w:szCs w:val="24"/>
        </w:rPr>
        <w:t>，应扣除局部荷载或集中反力作用面积中心至开孔外边画出两条切线之间所包含的长度（图6.6.7-2）。</w:t>
      </w:r>
    </w:p>
    <w:p>
      <w:pPr>
        <w:jc w:val="center"/>
      </w:pPr>
      <w:r>
        <w:drawing>
          <wp:inline distT="0" distB="0" distL="0" distR="0">
            <wp:extent cx="4724400" cy="3194050"/>
            <wp:effectExtent l="0" t="0" r="0" b="6350"/>
            <wp:docPr id="58" name="图片 5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true"/>
                    </pic:cNvPicPr>
                  </pic:nvPicPr>
                  <pic:blipFill>
                    <a:blip r:embed="rId56"/>
                    <a:stretch>
                      <a:fillRect/>
                    </a:stretch>
                  </pic:blipFill>
                  <pic:spPr>
                    <a:xfrm>
                      <a:off x="0" y="0"/>
                      <a:ext cx="4724400" cy="3194050"/>
                    </a:xfrm>
                    <a:prstGeom prst="rect">
                      <a:avLst/>
                    </a:prstGeom>
                  </pic:spPr>
                </pic:pic>
              </a:graphicData>
            </a:graphic>
          </wp:inline>
        </w:drawing>
      </w:r>
    </w:p>
    <w:p>
      <w:pPr>
        <w:spacing w:line="360" w:lineRule="auto"/>
        <w:ind w:firstLine="480"/>
        <w:rPr>
          <w:rFonts w:ascii="Arial" w:hAnsi="Arial" w:cs="Arial"/>
          <w:sz w:val="24"/>
          <w:szCs w:val="24"/>
        </w:rPr>
      </w:pPr>
      <w:r>
        <w:rPr>
          <w:rFonts w:hint="eastAsia" w:ascii="Arial" w:hAnsi="Arial" w:cs="Arial"/>
          <w:sz w:val="24"/>
          <w:szCs w:val="24"/>
        </w:rPr>
        <w:t>3  在局部荷载或集中反力作用下，当受冲切承载力不满足公式（6.6.7-1）的要求且板厚受到限制时，可配置箍筋或弯起钢筋，此时，受冲切截面及受冲切承载力应符合下列要求：</w:t>
      </w:r>
    </w:p>
    <w:p>
      <w:pPr>
        <w:ind w:firstLine="480"/>
        <w:rPr>
          <w:rFonts w:ascii="宋体" w:hAnsi="宋体"/>
          <w:sz w:val="24"/>
          <w:szCs w:val="24"/>
        </w:rPr>
      </w:pPr>
      <w:r>
        <w:rPr>
          <w:rFonts w:hint="eastAsia" w:ascii="宋体" w:hAnsi="宋体"/>
          <w:sz w:val="24"/>
          <w:szCs w:val="24"/>
        </w:rPr>
        <w:t xml:space="preserve">   1）受冲切截面 </w:t>
      </w:r>
    </w:p>
    <w:p>
      <w:pPr>
        <w:tabs>
          <w:tab w:val="left" w:pos="8222"/>
        </w:tabs>
        <w:spacing w:before="156" w:beforeLines="50" w:after="156" w:afterLines="50"/>
        <w:ind w:right="88" w:rightChars="42"/>
        <w:jc w:val="right"/>
        <w:rPr>
          <w:rFonts w:cs="Arial" w:asciiTheme="minorEastAsia" w:hAnsiTheme="minorEastAsia" w:eastAsiaTheme="minorEastAsia"/>
          <w:sz w:val="24"/>
          <w:szCs w:val="24"/>
        </w:rPr>
      </w:pPr>
      <m:oMath>
        <m:sSub>
          <m:sSubPr>
            <m:ctrlPr>
              <w:rPr>
                <w:rFonts w:ascii="Cambria Math" w:hAnsi="Cambria Math" w:cs="Arial" w:eastAsiaTheme="minorEastAsia"/>
                <w:sz w:val="24"/>
                <w:szCs w:val="24"/>
              </w:rPr>
            </m:ctrlPr>
          </m:sSubPr>
          <m:e>
            <m:r>
              <m:rPr/>
              <w:rPr>
                <w:rFonts w:ascii="Cambria Math" w:hAnsi="Cambria Math" w:cs="Arial" w:eastAsiaTheme="minorEastAsia"/>
                <w:sz w:val="24"/>
                <w:szCs w:val="24"/>
              </w:rPr>
              <m:t>F</m:t>
            </m:r>
            <m:ctrlPr>
              <w:rPr>
                <w:rFonts w:ascii="Cambria Math" w:hAnsi="Cambria Math" w:cs="Arial" w:eastAsiaTheme="minorEastAsia"/>
                <w:sz w:val="24"/>
                <w:szCs w:val="24"/>
              </w:rPr>
            </m:ctrlPr>
          </m:e>
          <m:sub>
            <m:r>
              <m:rPr/>
              <w:rPr>
                <w:rFonts w:ascii="Cambria Math" w:hAnsi="Cambria Math" w:cs="Arial" w:eastAsiaTheme="minorEastAsia"/>
                <w:sz w:val="24"/>
                <w:szCs w:val="24"/>
              </w:rPr>
              <m:t>l,eq</m:t>
            </m:r>
            <m:ctrlPr>
              <w:rPr>
                <w:rFonts w:ascii="Cambria Math" w:hAnsi="Cambria Math" w:cs="Arial" w:eastAsiaTheme="minorEastAsia"/>
                <w:sz w:val="24"/>
                <w:szCs w:val="24"/>
              </w:rPr>
            </m:ctrlPr>
          </m:sub>
        </m:sSub>
        <m:r>
          <m:rPr/>
          <w:rPr>
            <w:rFonts w:ascii="Cambria Math" w:hAnsi="Cambria Math" w:cs="Arial" w:eastAsiaTheme="minorEastAsia"/>
            <w:sz w:val="24"/>
            <w:szCs w:val="24"/>
          </w:rPr>
          <m:t>≤1.2</m:t>
        </m:r>
        <m:sSub>
          <m:sSubPr>
            <m:ctrlPr>
              <w:rPr>
                <w:rFonts w:ascii="Cambria Math" w:hAnsi="Cambria Math" w:cs="Arial" w:eastAsiaTheme="minorEastAsia"/>
                <w:i/>
                <w:sz w:val="24"/>
                <w:szCs w:val="24"/>
              </w:rPr>
            </m:ctrlPr>
          </m:sSubPr>
          <m:e>
            <m:r>
              <m:rPr/>
              <w:rPr>
                <w:rFonts w:ascii="Cambria Math" w:hAnsi="Cambria Math" w:cs="Arial" w:eastAsiaTheme="minorEastAsia"/>
                <w:sz w:val="24"/>
                <w:szCs w:val="24"/>
              </w:rPr>
              <m:t>f</m:t>
            </m:r>
            <m:ctrlPr>
              <w:rPr>
                <w:rFonts w:ascii="Cambria Math" w:hAnsi="Cambria Math" w:cs="Arial" w:eastAsiaTheme="minorEastAsia"/>
                <w:i/>
                <w:sz w:val="24"/>
                <w:szCs w:val="24"/>
              </w:rPr>
            </m:ctrlPr>
          </m:e>
          <m:sub>
            <m:r>
              <m:rPr/>
              <w:rPr>
                <w:rFonts w:ascii="Cambria Math" w:hAnsi="Cambria Math" w:cs="Arial" w:eastAsiaTheme="minorEastAsia"/>
                <w:sz w:val="24"/>
                <w:szCs w:val="24"/>
              </w:rPr>
              <m:t>t</m:t>
            </m:r>
            <m:ctrlPr>
              <w:rPr>
                <w:rFonts w:ascii="Cambria Math" w:hAnsi="Cambria Math" w:cs="Arial" w:eastAsiaTheme="minorEastAsia"/>
                <w:i/>
                <w:sz w:val="24"/>
                <w:szCs w:val="24"/>
              </w:rPr>
            </m:ctrlPr>
          </m:sub>
        </m:sSub>
        <m:sSub>
          <m:sSubPr>
            <m:ctrlPr>
              <w:rPr>
                <w:rFonts w:ascii="Cambria Math" w:hAnsi="Cambria Math" w:cs="Arial" w:eastAsiaTheme="minorEastAsia"/>
                <w:i/>
                <w:sz w:val="24"/>
                <w:szCs w:val="24"/>
              </w:rPr>
            </m:ctrlPr>
          </m:sSubPr>
          <m:e>
            <m:r>
              <m:rPr/>
              <w:rPr>
                <w:rFonts w:ascii="Cambria Math" w:hAnsi="Cambria Math" w:cs="Arial" w:eastAsiaTheme="minorEastAsia"/>
                <w:sz w:val="24"/>
                <w:szCs w:val="24"/>
              </w:rPr>
              <m:t>u</m:t>
            </m:r>
            <m:ctrlPr>
              <w:rPr>
                <w:rFonts w:ascii="Cambria Math" w:hAnsi="Cambria Math" w:cs="Arial" w:eastAsiaTheme="minorEastAsia"/>
                <w:i/>
                <w:sz w:val="24"/>
                <w:szCs w:val="24"/>
              </w:rPr>
            </m:ctrlPr>
          </m:e>
          <m:sub>
            <m:r>
              <m:rPr/>
              <w:rPr>
                <w:rFonts w:ascii="Cambria Math" w:hAnsi="Cambria Math" w:cs="Arial" w:eastAsiaTheme="minorEastAsia"/>
                <w:sz w:val="24"/>
                <w:szCs w:val="24"/>
              </w:rPr>
              <m:t>m</m:t>
            </m:r>
            <m:ctrlPr>
              <w:rPr>
                <w:rFonts w:ascii="Cambria Math" w:hAnsi="Cambria Math" w:cs="Arial" w:eastAsiaTheme="minorEastAsia"/>
                <w:i/>
                <w:sz w:val="24"/>
                <w:szCs w:val="24"/>
              </w:rPr>
            </m:ctrlPr>
          </m:sub>
        </m:sSub>
        <m:sSub>
          <m:sSubPr>
            <m:ctrlPr>
              <w:rPr>
                <w:rFonts w:ascii="Cambria Math" w:hAnsi="Cambria Math" w:cs="Arial" w:eastAsiaTheme="minorEastAsia"/>
                <w:i/>
                <w:sz w:val="24"/>
                <w:szCs w:val="24"/>
              </w:rPr>
            </m:ctrlPr>
          </m:sSubPr>
          <m:e>
            <m:r>
              <m:rPr/>
              <w:rPr>
                <w:rFonts w:ascii="Cambria Math" w:hAnsi="Cambria Math" w:cs="Arial" w:eastAsiaTheme="minorEastAsia"/>
                <w:sz w:val="24"/>
                <w:szCs w:val="24"/>
              </w:rPr>
              <m:t>ℎ</m:t>
            </m:r>
            <m:ctrlPr>
              <w:rPr>
                <w:rFonts w:ascii="Cambria Math" w:hAnsi="Cambria Math" w:cs="Arial" w:eastAsiaTheme="minorEastAsia"/>
                <w:i/>
                <w:sz w:val="24"/>
                <w:szCs w:val="24"/>
              </w:rPr>
            </m:ctrlPr>
          </m:e>
          <m:sub>
            <m:r>
              <m:rPr/>
              <w:rPr>
                <w:rFonts w:ascii="Cambria Math" w:hAnsi="Cambria Math" w:cs="Arial" w:eastAsiaTheme="minorEastAsia"/>
                <w:sz w:val="24"/>
                <w:szCs w:val="24"/>
              </w:rPr>
              <m:t>0</m:t>
            </m:r>
            <m:ctrlPr>
              <w:rPr>
                <w:rFonts w:ascii="Cambria Math" w:hAnsi="Cambria Math" w:cs="Arial" w:eastAsiaTheme="minorEastAsia"/>
                <w:i/>
                <w:sz w:val="24"/>
                <w:szCs w:val="24"/>
              </w:rPr>
            </m:ctrlPr>
          </m:sub>
        </m:sSub>
      </m:oMath>
      <w:r>
        <w:rPr>
          <w:rFonts w:hint="eastAsia" w:cs="Arial" w:asciiTheme="minorEastAsia" w:hAnsiTheme="minorEastAsia" w:eastAsiaTheme="minorEastAsia"/>
          <w:sz w:val="24"/>
          <w:szCs w:val="24"/>
        </w:rPr>
        <w:t xml:space="preserve">           (6.6.7-4)</w:t>
      </w:r>
    </w:p>
    <w:p>
      <w:pPr>
        <w:ind w:firstLine="1027" w:firstLineChars="428"/>
        <w:rPr>
          <w:rFonts w:ascii="宋体" w:hAnsi="宋体"/>
          <w:sz w:val="24"/>
          <w:szCs w:val="24"/>
        </w:rPr>
      </w:pPr>
      <w:r>
        <w:rPr>
          <w:rFonts w:hint="eastAsia" w:ascii="宋体" w:hAnsi="宋体"/>
          <w:sz w:val="24"/>
          <w:szCs w:val="24"/>
        </w:rPr>
        <w:t>2）配置箍筋、弯起钢筋时的受冲切承载力</w:t>
      </w:r>
    </w:p>
    <w:p>
      <w:pPr>
        <w:tabs>
          <w:tab w:val="left" w:pos="8222"/>
        </w:tabs>
        <w:spacing w:before="156" w:beforeLines="50" w:after="156" w:afterLines="50"/>
        <w:ind w:right="88" w:rightChars="42"/>
        <w:jc w:val="right"/>
        <w:rPr>
          <w:rFonts w:cs="Arial" w:asciiTheme="minorEastAsia" w:hAnsiTheme="minorEastAsia" w:eastAsiaTheme="minorEastAsia"/>
          <w:sz w:val="24"/>
          <w:szCs w:val="24"/>
        </w:rPr>
      </w:pPr>
      <m:oMath>
        <m:sSub>
          <m:sSubPr>
            <m:ctrlPr>
              <w:rPr>
                <w:rFonts w:ascii="Cambria Math" w:hAnsi="Cambria Math" w:cs="Arial" w:eastAsiaTheme="minorEastAsia"/>
                <w:sz w:val="24"/>
                <w:szCs w:val="24"/>
              </w:rPr>
            </m:ctrlPr>
          </m:sSubPr>
          <m:e>
            <m:r>
              <m:rPr/>
              <w:rPr>
                <w:rFonts w:ascii="Cambria Math" w:hAnsi="Cambria Math" w:cs="Arial" w:eastAsiaTheme="minorEastAsia"/>
                <w:sz w:val="24"/>
                <w:szCs w:val="24"/>
              </w:rPr>
              <m:t>F</m:t>
            </m:r>
            <m:ctrlPr>
              <w:rPr>
                <w:rFonts w:ascii="Cambria Math" w:hAnsi="Cambria Math" w:cs="Arial" w:eastAsiaTheme="minorEastAsia"/>
                <w:sz w:val="24"/>
                <w:szCs w:val="24"/>
              </w:rPr>
            </m:ctrlPr>
          </m:e>
          <m:sub>
            <m:r>
              <m:rPr/>
              <w:rPr>
                <w:rFonts w:ascii="Cambria Math" w:hAnsi="Cambria Math" w:cs="Arial" w:eastAsiaTheme="minorEastAsia"/>
                <w:sz w:val="24"/>
                <w:szCs w:val="24"/>
              </w:rPr>
              <m:t>l,eq</m:t>
            </m:r>
            <m:ctrlPr>
              <w:rPr>
                <w:rFonts w:ascii="Cambria Math" w:hAnsi="Cambria Math" w:cs="Arial" w:eastAsiaTheme="minorEastAsia"/>
                <w:sz w:val="24"/>
                <w:szCs w:val="24"/>
              </w:rPr>
            </m:ctrlPr>
          </m:sub>
        </m:sSub>
        <m:r>
          <m:rPr/>
          <w:rPr>
            <w:rFonts w:ascii="Cambria Math" w:hAnsi="Cambria Math" w:cs="Arial" w:eastAsiaTheme="minorEastAsia"/>
            <w:sz w:val="24"/>
            <w:szCs w:val="24"/>
          </w:rPr>
          <m:t>≤</m:t>
        </m:r>
        <m:d>
          <m:dPr>
            <m:ctrlPr>
              <w:rPr>
                <w:rFonts w:ascii="Cambria Math" w:hAnsi="Cambria Math" w:cs="Arial" w:eastAsiaTheme="minorEastAsia"/>
                <w:i/>
                <w:sz w:val="24"/>
                <w:szCs w:val="24"/>
              </w:rPr>
            </m:ctrlPr>
          </m:dPr>
          <m:e>
            <m:r>
              <m:rPr/>
              <w:rPr>
                <w:rFonts w:ascii="Cambria Math" w:hAnsi="Cambria Math" w:cs="Arial" w:eastAsiaTheme="minorEastAsia"/>
                <w:sz w:val="24"/>
                <w:szCs w:val="24"/>
              </w:rPr>
              <m:t>0.5</m:t>
            </m:r>
            <m:sSub>
              <m:sSubPr>
                <m:ctrlPr>
                  <w:rPr>
                    <w:rFonts w:ascii="Cambria Math" w:hAnsi="Cambria Math" w:cs="Arial" w:eastAsiaTheme="minorEastAsia"/>
                    <w:i/>
                    <w:sz w:val="24"/>
                    <w:szCs w:val="24"/>
                  </w:rPr>
                </m:ctrlPr>
              </m:sSubPr>
              <m:e>
                <m:r>
                  <m:rPr/>
                  <w:rPr>
                    <w:rFonts w:ascii="Cambria Math" w:hAnsi="Cambria Math" w:cs="Arial" w:eastAsiaTheme="minorEastAsia"/>
                    <w:sz w:val="24"/>
                    <w:szCs w:val="24"/>
                  </w:rPr>
                  <m:t>f</m:t>
                </m:r>
                <m:ctrlPr>
                  <w:rPr>
                    <w:rFonts w:ascii="Cambria Math" w:hAnsi="Cambria Math" w:cs="Arial" w:eastAsiaTheme="minorEastAsia"/>
                    <w:i/>
                    <w:sz w:val="24"/>
                    <w:szCs w:val="24"/>
                  </w:rPr>
                </m:ctrlPr>
              </m:e>
              <m:sub>
                <m:r>
                  <m:rPr/>
                  <w:rPr>
                    <w:rFonts w:ascii="Cambria Math" w:hAnsi="Cambria Math" w:cs="Arial" w:eastAsiaTheme="minorEastAsia"/>
                    <w:sz w:val="24"/>
                    <w:szCs w:val="24"/>
                  </w:rPr>
                  <m:t>t</m:t>
                </m:r>
                <m:ctrlPr>
                  <w:rPr>
                    <w:rFonts w:ascii="Cambria Math" w:hAnsi="Cambria Math" w:cs="Arial" w:eastAsiaTheme="minorEastAsia"/>
                    <w:i/>
                    <w:sz w:val="24"/>
                    <w:szCs w:val="24"/>
                  </w:rPr>
                </m:ctrlPr>
              </m:sub>
            </m:sSub>
            <m:r>
              <m:rPr/>
              <w:rPr>
                <w:rFonts w:ascii="Cambria Math" w:hAnsi="Cambria Math" w:cs="Arial" w:eastAsiaTheme="minorEastAsia"/>
                <w:sz w:val="24"/>
                <w:szCs w:val="24"/>
              </w:rPr>
              <m:t>+0.25</m:t>
            </m:r>
            <m:sSub>
              <m:sSubPr>
                <m:ctrlPr>
                  <w:rPr>
                    <w:rFonts w:ascii="Cambria Math" w:hAnsi="Cambria Math" w:cs="Arial" w:eastAsiaTheme="minorEastAsia"/>
                    <w:i/>
                    <w:sz w:val="24"/>
                    <w:szCs w:val="24"/>
                  </w:rPr>
                </m:ctrlPr>
              </m:sSubPr>
              <m:e>
                <m:r>
                  <m:rPr/>
                  <w:rPr>
                    <w:rFonts w:ascii="Cambria Math" w:hAnsi="Cambria Math" w:cs="Arial" w:eastAsiaTheme="minorEastAsia"/>
                    <w:sz w:val="24"/>
                    <w:szCs w:val="24"/>
                  </w:rPr>
                  <m:t>σ</m:t>
                </m:r>
                <m:ctrlPr>
                  <w:rPr>
                    <w:rFonts w:ascii="Cambria Math" w:hAnsi="Cambria Math" w:cs="Arial" w:eastAsiaTheme="minorEastAsia"/>
                    <w:i/>
                    <w:sz w:val="24"/>
                    <w:szCs w:val="24"/>
                  </w:rPr>
                </m:ctrlPr>
              </m:e>
              <m:sub>
                <m:r>
                  <m:rPr/>
                  <w:rPr>
                    <w:rFonts w:ascii="Cambria Math" w:hAnsi="Cambria Math" w:cs="Arial" w:eastAsiaTheme="minorEastAsia"/>
                    <w:sz w:val="24"/>
                    <w:szCs w:val="24"/>
                  </w:rPr>
                  <m:t>pc,m</m:t>
                </m:r>
                <m:ctrlPr>
                  <w:rPr>
                    <w:rFonts w:ascii="Cambria Math" w:hAnsi="Cambria Math" w:cs="Arial" w:eastAsiaTheme="minorEastAsia"/>
                    <w:i/>
                    <w:sz w:val="24"/>
                    <w:szCs w:val="24"/>
                  </w:rPr>
                </m:ctrlPr>
              </m:sub>
            </m:sSub>
            <m:ctrlPr>
              <w:rPr>
                <w:rFonts w:ascii="Cambria Math" w:hAnsi="Cambria Math" w:cs="Arial" w:eastAsiaTheme="minorEastAsia"/>
                <w:i/>
                <w:sz w:val="24"/>
                <w:szCs w:val="24"/>
              </w:rPr>
            </m:ctrlPr>
          </m:e>
        </m:d>
        <m:r>
          <m:rPr/>
          <w:rPr>
            <w:rFonts w:ascii="Cambria Math" w:hAnsi="Cambria Math" w:cs="Arial" w:eastAsiaTheme="minorEastAsia"/>
            <w:sz w:val="24"/>
            <w:szCs w:val="24"/>
          </w:rPr>
          <m:t>η</m:t>
        </m:r>
        <m:sSub>
          <m:sSubPr>
            <m:ctrlPr>
              <w:rPr>
                <w:rFonts w:ascii="Cambria Math" w:hAnsi="Cambria Math" w:cs="Arial" w:eastAsiaTheme="minorEastAsia"/>
                <w:i/>
                <w:sz w:val="24"/>
                <w:szCs w:val="24"/>
              </w:rPr>
            </m:ctrlPr>
          </m:sSubPr>
          <m:e>
            <m:r>
              <m:rPr/>
              <w:rPr>
                <w:rFonts w:ascii="Cambria Math" w:hAnsi="Cambria Math" w:cs="Arial" w:eastAsiaTheme="minorEastAsia"/>
                <w:sz w:val="24"/>
                <w:szCs w:val="24"/>
              </w:rPr>
              <m:t>u</m:t>
            </m:r>
            <m:ctrlPr>
              <w:rPr>
                <w:rFonts w:ascii="Cambria Math" w:hAnsi="Cambria Math" w:cs="Arial" w:eastAsiaTheme="minorEastAsia"/>
                <w:i/>
                <w:sz w:val="24"/>
                <w:szCs w:val="24"/>
              </w:rPr>
            </m:ctrlPr>
          </m:e>
          <m:sub>
            <m:r>
              <m:rPr/>
              <w:rPr>
                <w:rFonts w:ascii="Cambria Math" w:hAnsi="Cambria Math" w:cs="Arial" w:eastAsiaTheme="minorEastAsia"/>
                <w:sz w:val="24"/>
                <w:szCs w:val="24"/>
              </w:rPr>
              <m:t>m</m:t>
            </m:r>
            <m:ctrlPr>
              <w:rPr>
                <w:rFonts w:ascii="Cambria Math" w:hAnsi="Cambria Math" w:cs="Arial" w:eastAsiaTheme="minorEastAsia"/>
                <w:i/>
                <w:sz w:val="24"/>
                <w:szCs w:val="24"/>
              </w:rPr>
            </m:ctrlPr>
          </m:sub>
        </m:sSub>
        <m:sSub>
          <m:sSubPr>
            <m:ctrlPr>
              <w:rPr>
                <w:rFonts w:ascii="Cambria Math" w:hAnsi="Cambria Math" w:cs="Arial" w:eastAsiaTheme="minorEastAsia"/>
                <w:i/>
                <w:sz w:val="24"/>
                <w:szCs w:val="24"/>
              </w:rPr>
            </m:ctrlPr>
          </m:sSubPr>
          <m:e>
            <m:r>
              <m:rPr/>
              <w:rPr>
                <w:rFonts w:ascii="Cambria Math" w:hAnsi="Cambria Math" w:cs="Arial" w:eastAsiaTheme="minorEastAsia"/>
                <w:sz w:val="24"/>
                <w:szCs w:val="24"/>
              </w:rPr>
              <m:t>ℎ</m:t>
            </m:r>
            <m:ctrlPr>
              <w:rPr>
                <w:rFonts w:ascii="Cambria Math" w:hAnsi="Cambria Math" w:cs="Arial" w:eastAsiaTheme="minorEastAsia"/>
                <w:i/>
                <w:sz w:val="24"/>
                <w:szCs w:val="24"/>
              </w:rPr>
            </m:ctrlPr>
          </m:e>
          <m:sub>
            <m:r>
              <m:rPr/>
              <w:rPr>
                <w:rFonts w:ascii="Cambria Math" w:hAnsi="Cambria Math" w:cs="Arial" w:eastAsiaTheme="minorEastAsia"/>
                <w:sz w:val="24"/>
                <w:szCs w:val="24"/>
              </w:rPr>
              <m:t>0</m:t>
            </m:r>
            <m:ctrlPr>
              <w:rPr>
                <w:rFonts w:ascii="Cambria Math" w:hAnsi="Cambria Math" w:cs="Arial" w:eastAsiaTheme="minorEastAsia"/>
                <w:i/>
                <w:sz w:val="24"/>
                <w:szCs w:val="24"/>
              </w:rPr>
            </m:ctrlPr>
          </m:sub>
        </m:sSub>
        <m:r>
          <m:rPr/>
          <w:rPr>
            <w:rFonts w:ascii="Cambria Math" w:hAnsi="Cambria Math" w:cs="Arial" w:eastAsiaTheme="minorEastAsia"/>
            <w:sz w:val="24"/>
            <w:szCs w:val="24"/>
          </w:rPr>
          <m:t>+0.8</m:t>
        </m:r>
        <m:sSub>
          <m:sSubPr>
            <m:ctrlPr>
              <w:rPr>
                <w:rFonts w:ascii="Cambria Math" w:hAnsi="Cambria Math" w:cs="Arial" w:eastAsiaTheme="minorEastAsia"/>
                <w:i/>
                <w:sz w:val="24"/>
                <w:szCs w:val="24"/>
              </w:rPr>
            </m:ctrlPr>
          </m:sSubPr>
          <m:e>
            <m:r>
              <m:rPr/>
              <w:rPr>
                <w:rFonts w:ascii="Cambria Math" w:hAnsi="Cambria Math" w:cs="Arial" w:eastAsiaTheme="minorEastAsia"/>
                <w:sz w:val="24"/>
                <w:szCs w:val="24"/>
              </w:rPr>
              <m:t>f</m:t>
            </m:r>
            <m:ctrlPr>
              <w:rPr>
                <w:rFonts w:ascii="Cambria Math" w:hAnsi="Cambria Math" w:cs="Arial" w:eastAsiaTheme="minorEastAsia"/>
                <w:i/>
                <w:sz w:val="24"/>
                <w:szCs w:val="24"/>
              </w:rPr>
            </m:ctrlPr>
          </m:e>
          <m:sub>
            <m:r>
              <m:rPr/>
              <w:rPr>
                <w:rFonts w:ascii="Cambria Math" w:hAnsi="Cambria Math" w:cs="Arial" w:eastAsiaTheme="minorEastAsia"/>
                <w:sz w:val="24"/>
                <w:szCs w:val="24"/>
              </w:rPr>
              <m:t>yv</m:t>
            </m:r>
            <m:ctrlPr>
              <w:rPr>
                <w:rFonts w:ascii="Cambria Math" w:hAnsi="Cambria Math" w:cs="Arial" w:eastAsiaTheme="minorEastAsia"/>
                <w:i/>
                <w:sz w:val="24"/>
                <w:szCs w:val="24"/>
              </w:rPr>
            </m:ctrlPr>
          </m:sub>
        </m:sSub>
        <m:sSub>
          <m:sSubPr>
            <m:ctrlPr>
              <w:rPr>
                <w:rFonts w:ascii="Cambria Math" w:hAnsi="Cambria Math" w:cs="Arial" w:eastAsiaTheme="minorEastAsia"/>
                <w:i/>
                <w:sz w:val="24"/>
                <w:szCs w:val="24"/>
              </w:rPr>
            </m:ctrlPr>
          </m:sSubPr>
          <m:e>
            <m:r>
              <m:rPr/>
              <w:rPr>
                <w:rFonts w:ascii="Cambria Math" w:hAnsi="Cambria Math" w:cs="Arial" w:eastAsiaTheme="minorEastAsia"/>
                <w:sz w:val="24"/>
                <w:szCs w:val="24"/>
              </w:rPr>
              <m:t>A</m:t>
            </m:r>
            <m:ctrlPr>
              <w:rPr>
                <w:rFonts w:ascii="Cambria Math" w:hAnsi="Cambria Math" w:cs="Arial" w:eastAsiaTheme="minorEastAsia"/>
                <w:i/>
                <w:sz w:val="24"/>
                <w:szCs w:val="24"/>
              </w:rPr>
            </m:ctrlPr>
          </m:e>
          <m:sub>
            <m:r>
              <m:rPr/>
              <w:rPr>
                <w:rFonts w:ascii="Cambria Math" w:hAnsi="Cambria Math" w:cs="Arial" w:eastAsiaTheme="minorEastAsia"/>
                <w:sz w:val="24"/>
                <w:szCs w:val="24"/>
              </w:rPr>
              <m:t>svu</m:t>
            </m:r>
            <m:ctrlPr>
              <w:rPr>
                <w:rFonts w:ascii="Cambria Math" w:hAnsi="Cambria Math" w:cs="Arial" w:eastAsiaTheme="minorEastAsia"/>
                <w:i/>
                <w:sz w:val="24"/>
                <w:szCs w:val="24"/>
              </w:rPr>
            </m:ctrlPr>
          </m:sub>
        </m:sSub>
        <m:r>
          <m:rPr/>
          <w:rPr>
            <w:rFonts w:ascii="Cambria Math" w:hAnsi="Cambria Math" w:cs="Arial" w:eastAsiaTheme="minorEastAsia"/>
            <w:sz w:val="24"/>
            <w:szCs w:val="24"/>
          </w:rPr>
          <m:t>+0.8</m:t>
        </m:r>
        <m:sSub>
          <m:sSubPr>
            <m:ctrlPr>
              <w:rPr>
                <w:rFonts w:ascii="Cambria Math" w:hAnsi="Cambria Math" w:cs="Arial" w:eastAsiaTheme="minorEastAsia"/>
                <w:i/>
                <w:sz w:val="24"/>
                <w:szCs w:val="24"/>
              </w:rPr>
            </m:ctrlPr>
          </m:sSubPr>
          <m:e>
            <m:r>
              <m:rPr/>
              <w:rPr>
                <w:rFonts w:ascii="Cambria Math" w:hAnsi="Cambria Math" w:cs="Arial" w:eastAsiaTheme="minorEastAsia"/>
                <w:sz w:val="24"/>
                <w:szCs w:val="24"/>
              </w:rPr>
              <m:t>f</m:t>
            </m:r>
            <m:ctrlPr>
              <w:rPr>
                <w:rFonts w:ascii="Cambria Math" w:hAnsi="Cambria Math" w:cs="Arial" w:eastAsiaTheme="minorEastAsia"/>
                <w:i/>
                <w:sz w:val="24"/>
                <w:szCs w:val="24"/>
              </w:rPr>
            </m:ctrlPr>
          </m:e>
          <m:sub>
            <m:r>
              <m:rPr/>
              <w:rPr>
                <w:rFonts w:ascii="Cambria Math" w:hAnsi="Cambria Math" w:cs="Arial" w:eastAsiaTheme="minorEastAsia"/>
                <w:sz w:val="24"/>
                <w:szCs w:val="24"/>
              </w:rPr>
              <m:t>y</m:t>
            </m:r>
            <m:ctrlPr>
              <w:rPr>
                <w:rFonts w:ascii="Cambria Math" w:hAnsi="Cambria Math" w:cs="Arial" w:eastAsiaTheme="minorEastAsia"/>
                <w:i/>
                <w:sz w:val="24"/>
                <w:szCs w:val="24"/>
              </w:rPr>
            </m:ctrlPr>
          </m:sub>
        </m:sSub>
        <m:sSub>
          <m:sSubPr>
            <m:ctrlPr>
              <w:rPr>
                <w:rFonts w:ascii="Cambria Math" w:hAnsi="Cambria Math" w:cs="Arial" w:eastAsiaTheme="minorEastAsia"/>
                <w:i/>
                <w:sz w:val="24"/>
                <w:szCs w:val="24"/>
              </w:rPr>
            </m:ctrlPr>
          </m:sSubPr>
          <m:e>
            <m:r>
              <m:rPr/>
              <w:rPr>
                <w:rFonts w:ascii="Cambria Math" w:hAnsi="Cambria Math" w:cs="Arial" w:eastAsiaTheme="minorEastAsia"/>
                <w:sz w:val="24"/>
                <w:szCs w:val="24"/>
              </w:rPr>
              <m:t>A</m:t>
            </m:r>
            <m:ctrlPr>
              <w:rPr>
                <w:rFonts w:ascii="Cambria Math" w:hAnsi="Cambria Math" w:cs="Arial" w:eastAsiaTheme="minorEastAsia"/>
                <w:i/>
                <w:sz w:val="24"/>
                <w:szCs w:val="24"/>
              </w:rPr>
            </m:ctrlPr>
          </m:e>
          <m:sub>
            <m:r>
              <m:rPr/>
              <w:rPr>
                <w:rFonts w:ascii="Cambria Math" w:hAnsi="Cambria Math" w:cs="Arial" w:eastAsiaTheme="minorEastAsia"/>
                <w:sz w:val="24"/>
                <w:szCs w:val="24"/>
              </w:rPr>
              <m:t>sbu</m:t>
            </m:r>
            <m:ctrlPr>
              <w:rPr>
                <w:rFonts w:ascii="Cambria Math" w:hAnsi="Cambria Math" w:cs="Arial" w:eastAsiaTheme="minorEastAsia"/>
                <w:i/>
                <w:sz w:val="24"/>
                <w:szCs w:val="24"/>
              </w:rPr>
            </m:ctrlPr>
          </m:sub>
        </m:sSub>
        <m:r>
          <m:rPr/>
          <w:rPr>
            <w:rFonts w:ascii="Cambria Math" w:hAnsi="Cambria Math" w:cs="Arial" w:eastAsiaTheme="minorEastAsia"/>
            <w:sz w:val="24"/>
            <w:szCs w:val="24"/>
          </w:rPr>
          <m:t>sinα</m:t>
        </m:r>
      </m:oMath>
      <w:r>
        <w:rPr>
          <w:rFonts w:hint="eastAsia" w:cs="Arial" w:asciiTheme="minorEastAsia" w:hAnsiTheme="minorEastAsia" w:eastAsiaTheme="minorEastAsia"/>
          <w:sz w:val="24"/>
          <w:szCs w:val="24"/>
        </w:rPr>
        <w:t xml:space="preserve">           (6.6.7-5)</w:t>
      </w:r>
    </w:p>
    <w:p>
      <w:pPr>
        <w:spacing w:line="360" w:lineRule="auto"/>
        <w:rPr>
          <w:rFonts w:ascii="宋体" w:hAnsi="宋体" w:cs="Arial"/>
          <w:sz w:val="24"/>
          <w:szCs w:val="24"/>
        </w:rPr>
      </w:pPr>
      <w:r>
        <w:rPr>
          <w:rFonts w:hint="eastAsia" w:ascii="宋体" w:hAnsi="宋体"/>
          <w:sz w:val="24"/>
          <w:szCs w:val="24"/>
        </w:rPr>
        <w:t xml:space="preserve">     式中：</w:t>
      </w:r>
      <w:r>
        <w:rPr>
          <w:rFonts w:hint="eastAsia" w:ascii="宋体" w:hAnsi="宋体" w:cs="Arial"/>
          <w:sz w:val="24"/>
          <w:szCs w:val="24"/>
        </w:rPr>
        <w:t>f</w:t>
      </w:r>
      <w:r>
        <w:rPr>
          <w:rFonts w:hint="eastAsia" w:ascii="宋体" w:hAnsi="宋体" w:cs="Arial"/>
          <w:sz w:val="24"/>
          <w:szCs w:val="24"/>
          <w:vertAlign w:val="subscript"/>
        </w:rPr>
        <w:t>yv</w:t>
      </w:r>
      <w:r>
        <w:rPr>
          <w:rFonts w:hint="eastAsia" w:ascii="宋体" w:hAnsi="宋体" w:cs="Arial"/>
          <w:sz w:val="24"/>
          <w:szCs w:val="24"/>
        </w:rPr>
        <w:t xml:space="preserve">  ———   箍筋的抗拉强度设计值；</w:t>
      </w:r>
    </w:p>
    <w:p>
      <w:pPr>
        <w:spacing w:line="360" w:lineRule="auto"/>
        <w:ind w:left="2880" w:hanging="2880" w:hangingChars="1200"/>
        <w:rPr>
          <w:rFonts w:ascii="宋体" w:hAnsi="宋体" w:cs="Arial"/>
          <w:sz w:val="24"/>
          <w:szCs w:val="24"/>
        </w:rPr>
      </w:pPr>
      <w:r>
        <w:rPr>
          <w:rFonts w:hint="eastAsia" w:ascii="宋体" w:hAnsi="宋体" w:cs="Arial"/>
          <w:sz w:val="24"/>
          <w:szCs w:val="24"/>
        </w:rPr>
        <w:t xml:space="preserve">           A</w:t>
      </w:r>
      <w:r>
        <w:rPr>
          <w:rFonts w:hint="eastAsia" w:ascii="宋体" w:hAnsi="宋体" w:cs="Arial"/>
          <w:sz w:val="24"/>
          <w:szCs w:val="24"/>
          <w:vertAlign w:val="subscript"/>
        </w:rPr>
        <w:t>svu</w:t>
      </w:r>
      <w:r>
        <w:rPr>
          <w:rFonts w:hint="eastAsia" w:ascii="宋体" w:hAnsi="宋体" w:cs="Arial"/>
          <w:sz w:val="24"/>
          <w:szCs w:val="24"/>
        </w:rPr>
        <w:t xml:space="preserve">  ———  与呈45°冲切破坏锥体斜截面相交的全部箍筋截面面积；</w:t>
      </w:r>
    </w:p>
    <w:p>
      <w:pPr>
        <w:spacing w:line="360" w:lineRule="auto"/>
        <w:ind w:left="2880" w:hanging="2880" w:hangingChars="1200"/>
        <w:rPr>
          <w:rFonts w:ascii="宋体" w:hAnsi="宋体" w:cs="Arial"/>
          <w:sz w:val="24"/>
          <w:szCs w:val="24"/>
        </w:rPr>
      </w:pPr>
      <w:r>
        <w:rPr>
          <w:rFonts w:hint="eastAsia" w:ascii="宋体" w:hAnsi="宋体" w:cs="Arial"/>
          <w:sz w:val="24"/>
          <w:szCs w:val="24"/>
        </w:rPr>
        <w:t xml:space="preserve">           A</w:t>
      </w:r>
      <w:r>
        <w:rPr>
          <w:rFonts w:hint="eastAsia" w:ascii="宋体" w:hAnsi="宋体" w:cs="Arial"/>
          <w:sz w:val="24"/>
          <w:szCs w:val="24"/>
          <w:vertAlign w:val="subscript"/>
        </w:rPr>
        <w:t>sbu</w:t>
      </w:r>
      <w:r>
        <w:rPr>
          <w:rFonts w:hint="eastAsia" w:ascii="宋体" w:hAnsi="宋体" w:cs="Arial"/>
          <w:sz w:val="24"/>
          <w:szCs w:val="24"/>
        </w:rPr>
        <w:t xml:space="preserve">  ———  与呈45°冲切破坏锥体斜截面相交的全部弯起钢筋截面面积；</w:t>
      </w:r>
    </w:p>
    <w:p>
      <w:pPr>
        <w:spacing w:line="360" w:lineRule="auto"/>
        <w:ind w:firstLine="1440" w:firstLineChars="600"/>
        <w:rPr>
          <w:rFonts w:ascii="宋体" w:hAnsi="宋体" w:cs="Arial"/>
          <w:sz w:val="24"/>
          <w:szCs w:val="24"/>
        </w:rPr>
      </w:pPr>
      <w:r>
        <w:rPr>
          <w:rFonts w:hint="eastAsia" w:ascii="宋体" w:hAnsi="宋体" w:cs="Arial"/>
          <w:sz w:val="24"/>
          <w:szCs w:val="24"/>
        </w:rPr>
        <w:t>α  ———  弯起钢筋与板底面的夹角；</w:t>
      </w:r>
    </w:p>
    <w:p>
      <w:pPr>
        <w:spacing w:line="360" w:lineRule="auto"/>
        <w:rPr>
          <w:rFonts w:ascii="宋体" w:hAnsi="宋体"/>
          <w:sz w:val="24"/>
          <w:szCs w:val="24"/>
        </w:rPr>
      </w:pPr>
      <w:r>
        <w:rPr>
          <w:rFonts w:hint="eastAsia" w:ascii="宋体" w:hAnsi="宋体" w:cs="Arial"/>
          <w:sz w:val="24"/>
          <w:szCs w:val="24"/>
        </w:rPr>
        <w:t xml:space="preserve">   4  配置抗冲切钢筋的冲切破坏锥体以外的截面，尚应按公式（6.6.7-1）进行受冲切承载力计算，此时，u</w:t>
      </w:r>
      <w:r>
        <w:rPr>
          <w:rFonts w:hint="eastAsia" w:ascii="宋体" w:hAnsi="宋体" w:cs="Arial"/>
          <w:sz w:val="24"/>
          <w:szCs w:val="24"/>
          <w:vertAlign w:val="subscript"/>
        </w:rPr>
        <w:t>m</w:t>
      </w:r>
      <w:r>
        <w:rPr>
          <w:rFonts w:hint="eastAsia" w:ascii="宋体" w:hAnsi="宋体" w:cs="Arial"/>
          <w:sz w:val="24"/>
          <w:szCs w:val="24"/>
        </w:rPr>
        <w:t>应取配置抗冲切钢筋的冲切破坏锥体以为h</w:t>
      </w:r>
      <w:r>
        <w:rPr>
          <w:rFonts w:hint="eastAsia" w:ascii="宋体" w:hAnsi="宋体" w:cs="Arial"/>
          <w:sz w:val="24"/>
          <w:szCs w:val="24"/>
          <w:vertAlign w:val="subscript"/>
        </w:rPr>
        <w:t>0</w:t>
      </w:r>
      <w:r>
        <w:rPr>
          <w:rFonts w:hint="eastAsia" w:ascii="宋体" w:hAnsi="宋体" w:cs="Arial"/>
          <w:sz w:val="24"/>
          <w:szCs w:val="24"/>
        </w:rPr>
        <w:t>/2处的最不利周长。</w:t>
      </w:r>
    </w:p>
    <w:p>
      <w:pPr>
        <w:spacing w:line="360" w:lineRule="auto"/>
        <w:rPr>
          <w:rFonts w:ascii="Arial" w:hAnsi="Arial" w:cs="Arial"/>
          <w:sz w:val="24"/>
          <w:szCs w:val="24"/>
        </w:rPr>
      </w:pPr>
    </w:p>
    <w:p>
      <w:pPr>
        <w:spacing w:line="360" w:lineRule="auto"/>
        <w:rPr>
          <w:rFonts w:ascii="Arial" w:hAnsi="Arial" w:cs="Arial"/>
          <w:sz w:val="24"/>
          <w:szCs w:val="24"/>
        </w:rPr>
      </w:pPr>
      <w:r>
        <w:rPr>
          <w:rFonts w:ascii="Arial" w:hAnsi="Arial" w:cs="Arial"/>
          <w:sz w:val="24"/>
          <w:szCs w:val="24"/>
        </w:rPr>
        <w:t>6.6.8 板-柱-抗震墙结构的-柱节点构造应符合下列要求：</w:t>
      </w:r>
    </w:p>
    <w:p>
      <w:pPr>
        <w:spacing w:line="360" w:lineRule="auto"/>
        <w:ind w:firstLine="480" w:firstLineChars="200"/>
        <w:rPr>
          <w:rFonts w:ascii="Arial" w:hAnsi="Arial" w:cs="Arial"/>
          <w:kern w:val="0"/>
          <w:sz w:val="24"/>
          <w:szCs w:val="24"/>
        </w:rPr>
      </w:pPr>
      <w:r>
        <w:rPr>
          <w:rFonts w:ascii="Arial" w:hAnsi="Arial" w:cs="Arial"/>
          <w:kern w:val="0"/>
          <w:sz w:val="24"/>
          <w:szCs w:val="24"/>
        </w:rPr>
        <w:t>1 无柱帽平板应在柱上板带中设构造暗梁，暗梁宽度可取柱宽及柱两侧各不大于1.5倍板厚。暗梁支座上部钢筋面积应不小于柱上板带钢筋面积的50%，暗梁下部钢筋不宜少于上部钢筋的1/2；箍筋直径不应小于8mm，间距不宜大于3/4倍板厚，肢距不宜大于2倍板厚，在暗梁两端应加密。在节点区，当闭合箍筋施工有困难时，一个方向的箍筋可采用倒U型箍或抗冲切锚杆。</w:t>
      </w:r>
    </w:p>
    <w:p>
      <w:pPr>
        <w:spacing w:line="360" w:lineRule="auto"/>
        <w:ind w:firstLine="480" w:firstLineChars="200"/>
        <w:rPr>
          <w:rFonts w:ascii="Arial" w:hAnsi="Arial" w:cs="Arial"/>
          <w:kern w:val="0"/>
          <w:sz w:val="24"/>
          <w:szCs w:val="24"/>
        </w:rPr>
      </w:pPr>
      <w:r>
        <w:rPr>
          <w:rFonts w:ascii="Arial" w:hAnsi="Arial" w:cs="Arial"/>
          <w:kern w:val="0"/>
          <w:sz w:val="24"/>
          <w:szCs w:val="24"/>
        </w:rPr>
        <w:t>2 无柱帽柱上板带的板底钢筋，宜在距柱面为2倍板厚以外连接，采用搭接时钢筋端部宜有垂直于板面的弯钩。</w:t>
      </w:r>
    </w:p>
    <w:p>
      <w:pPr>
        <w:spacing w:line="360" w:lineRule="auto"/>
        <w:ind w:firstLine="480" w:firstLineChars="200"/>
        <w:rPr>
          <w:rFonts w:ascii="Arial" w:hAnsi="Arial" w:cs="Arial"/>
          <w:kern w:val="0"/>
          <w:sz w:val="24"/>
          <w:szCs w:val="24"/>
        </w:rPr>
      </w:pPr>
      <w:r>
        <w:rPr>
          <w:rFonts w:ascii="Arial" w:hAnsi="Arial" w:cs="Arial"/>
          <w:kern w:val="0"/>
          <w:sz w:val="24"/>
          <w:szCs w:val="24"/>
        </w:rPr>
        <w:t>3 沿两个主轴方向通过柱截面的板底连续钢筋的总截面面积，应符合下式要求：</w:t>
      </w:r>
    </w:p>
    <w:p>
      <w:pPr>
        <w:spacing w:line="360" w:lineRule="auto"/>
        <w:jc w:val="center"/>
        <w:rPr>
          <w:rFonts w:ascii="Arial" w:hAnsi="Arial" w:cs="Arial"/>
          <w:kern w:val="0"/>
          <w:sz w:val="24"/>
          <w:szCs w:val="24"/>
        </w:rPr>
      </w:pPr>
      <w:r>
        <w:rPr>
          <w:rFonts w:ascii="Arial" w:hAnsi="Arial" w:cs="Arial"/>
          <w:kern w:val="0"/>
          <w:sz w:val="24"/>
          <w:szCs w:val="24"/>
        </w:rPr>
        <w:t>A</w:t>
      </w:r>
      <w:r>
        <w:rPr>
          <w:rFonts w:ascii="Arial" w:hAnsi="Arial" w:cs="Arial"/>
          <w:kern w:val="0"/>
          <w:sz w:val="24"/>
          <w:szCs w:val="24"/>
          <w:vertAlign w:val="subscript"/>
        </w:rPr>
        <w:t>s</w:t>
      </w:r>
      <w:r>
        <w:rPr>
          <w:rFonts w:ascii="Arial" w:hAnsi="Arial" w:cs="Arial"/>
          <w:kern w:val="0"/>
          <w:sz w:val="24"/>
          <w:szCs w:val="24"/>
        </w:rPr>
        <w:t>≥N</w:t>
      </w:r>
      <w:r>
        <w:rPr>
          <w:rFonts w:ascii="Arial" w:hAnsi="Arial" w:cs="Arial"/>
          <w:kern w:val="0"/>
          <w:sz w:val="24"/>
          <w:szCs w:val="24"/>
          <w:vertAlign w:val="subscript"/>
        </w:rPr>
        <w:t>G</w:t>
      </w:r>
      <w:r>
        <w:rPr>
          <w:rFonts w:ascii="Arial" w:hAnsi="Arial" w:cs="Arial"/>
          <w:kern w:val="0"/>
          <w:sz w:val="24"/>
          <w:szCs w:val="24"/>
        </w:rPr>
        <w:t xml:space="preserve"> / f</w:t>
      </w:r>
      <w:r>
        <w:rPr>
          <w:rFonts w:ascii="Arial" w:hAnsi="Arial" w:cs="Arial"/>
          <w:kern w:val="0"/>
          <w:sz w:val="24"/>
          <w:szCs w:val="24"/>
          <w:vertAlign w:val="subscript"/>
        </w:rPr>
        <w:t>y</w:t>
      </w:r>
      <w:r>
        <w:rPr>
          <w:rFonts w:ascii="Arial" w:hAnsi="Arial" w:cs="Arial"/>
          <w:kern w:val="0"/>
          <w:sz w:val="24"/>
          <w:szCs w:val="24"/>
        </w:rPr>
        <w:t xml:space="preserve">                （6.6.8）</w:t>
      </w:r>
    </w:p>
    <w:p>
      <w:pPr>
        <w:spacing w:line="360" w:lineRule="auto"/>
        <w:ind w:firstLine="480" w:firstLineChars="200"/>
        <w:rPr>
          <w:rFonts w:ascii="Arial" w:hAnsi="Arial" w:cs="Arial"/>
          <w:kern w:val="0"/>
          <w:sz w:val="24"/>
          <w:szCs w:val="24"/>
        </w:rPr>
      </w:pPr>
      <w:r>
        <w:rPr>
          <w:rFonts w:ascii="Arial" w:hAnsi="Arial" w:cs="Arial"/>
          <w:kern w:val="0"/>
          <w:sz w:val="24"/>
          <w:szCs w:val="24"/>
        </w:rPr>
        <w:t>式中：A</w:t>
      </w:r>
      <w:r>
        <w:rPr>
          <w:rFonts w:ascii="Arial" w:hAnsi="Arial" w:cs="Arial"/>
          <w:kern w:val="0"/>
          <w:sz w:val="24"/>
          <w:szCs w:val="24"/>
          <w:vertAlign w:val="subscript"/>
        </w:rPr>
        <w:t>s</w:t>
      </w:r>
      <w:r>
        <w:rPr>
          <w:rFonts w:ascii="Arial" w:hAnsi="Arial" w:cs="Arial"/>
          <w:kern w:val="0"/>
          <w:sz w:val="24"/>
          <w:szCs w:val="24"/>
        </w:rPr>
        <w:t>——板底连续钢筋总截面面积；</w:t>
      </w:r>
    </w:p>
    <w:p>
      <w:pPr>
        <w:spacing w:line="360" w:lineRule="auto"/>
        <w:ind w:left="1208" w:leftChars="575"/>
        <w:rPr>
          <w:rFonts w:ascii="Arial" w:hAnsi="Arial" w:cs="Arial"/>
          <w:kern w:val="0"/>
          <w:sz w:val="24"/>
          <w:szCs w:val="24"/>
        </w:rPr>
      </w:pPr>
      <w:r>
        <w:rPr>
          <w:rFonts w:ascii="Arial" w:hAnsi="Arial" w:cs="Arial"/>
          <w:kern w:val="0"/>
          <w:sz w:val="24"/>
          <w:szCs w:val="24"/>
        </w:rPr>
        <w:t>N</w:t>
      </w:r>
      <w:r>
        <w:rPr>
          <w:rFonts w:ascii="Arial" w:hAnsi="Arial" w:cs="Arial"/>
          <w:kern w:val="0"/>
          <w:sz w:val="24"/>
          <w:szCs w:val="24"/>
          <w:vertAlign w:val="subscript"/>
        </w:rPr>
        <w:t>G</w:t>
      </w:r>
      <w:r>
        <w:rPr>
          <w:rFonts w:ascii="Arial" w:hAnsi="Arial" w:cs="Arial"/>
          <w:kern w:val="0"/>
          <w:sz w:val="24"/>
          <w:szCs w:val="24"/>
        </w:rPr>
        <w:t>——在本层楼板重力荷载代表值（8度时尚宜计入竖向地震）作用下的柱轴压力设计值；</w:t>
      </w:r>
    </w:p>
    <w:p>
      <w:pPr>
        <w:spacing w:line="360" w:lineRule="auto"/>
        <w:ind w:left="1208" w:leftChars="575"/>
        <w:rPr>
          <w:rFonts w:ascii="Arial" w:hAnsi="Arial" w:cs="Arial"/>
          <w:kern w:val="0"/>
          <w:sz w:val="24"/>
          <w:szCs w:val="24"/>
        </w:rPr>
      </w:pPr>
      <w:r>
        <w:rPr>
          <w:rFonts w:ascii="Arial" w:hAnsi="Arial" w:cs="Arial"/>
          <w:kern w:val="0"/>
          <w:sz w:val="24"/>
          <w:szCs w:val="24"/>
        </w:rPr>
        <w:t>f</w:t>
      </w:r>
      <w:r>
        <w:rPr>
          <w:rFonts w:ascii="Arial" w:hAnsi="Arial" w:cs="Arial"/>
          <w:kern w:val="0"/>
          <w:sz w:val="24"/>
          <w:szCs w:val="24"/>
          <w:vertAlign w:val="subscript"/>
        </w:rPr>
        <w:t>y</w:t>
      </w:r>
      <w:r>
        <w:rPr>
          <w:rFonts w:ascii="Arial" w:hAnsi="Arial" w:cs="Arial"/>
          <w:kern w:val="0"/>
          <w:sz w:val="24"/>
          <w:szCs w:val="24"/>
        </w:rPr>
        <w:t>——楼板钢筋的抗拉强度设计值。</w:t>
      </w:r>
    </w:p>
    <w:p>
      <w:pPr>
        <w:spacing w:line="360" w:lineRule="auto"/>
        <w:ind w:firstLine="480" w:firstLineChars="200"/>
        <w:rPr>
          <w:rFonts w:ascii="Arial" w:hAnsi="Arial" w:cs="Arial"/>
          <w:kern w:val="0"/>
          <w:sz w:val="24"/>
          <w:szCs w:val="24"/>
        </w:rPr>
      </w:pPr>
      <w:r>
        <w:rPr>
          <w:rFonts w:ascii="Arial" w:hAnsi="Arial" w:cs="Arial"/>
          <w:kern w:val="0"/>
          <w:sz w:val="24"/>
          <w:szCs w:val="24"/>
        </w:rPr>
        <w:t>4 板-柱节点应根据抗冲切承载力要求，配置抗剪栓钉或抗冲切钢筋。</w:t>
      </w:r>
    </w:p>
    <w:p>
      <w:pPr>
        <w:spacing w:line="360" w:lineRule="auto"/>
        <w:rPr>
          <w:rFonts w:ascii="Arial" w:hAnsi="Arial" w:cs="Arial"/>
          <w:sz w:val="24"/>
          <w:szCs w:val="24"/>
        </w:rPr>
      </w:pPr>
      <w:r>
        <w:rPr>
          <w:rFonts w:ascii="Arial" w:hAnsi="Arial" w:cs="Arial"/>
          <w:sz w:val="24"/>
          <w:szCs w:val="24"/>
        </w:rPr>
        <w:t>8.1.1 本章适用于普通砖（包括烧结、蒸压、混凝土普通砖）、多孔砖（包括烧结、混凝土多孔砖）和混凝土小型空心砌块等砌体承重的多层房屋，底层或底部两层框架-抗震墙砌体房屋。配筋混凝土小型空心砌块抗震墙房屋的抗震设计，应符合本章有关条文。</w:t>
      </w:r>
    </w:p>
    <w:p>
      <w:pPr>
        <w:spacing w:line="360" w:lineRule="auto"/>
        <w:ind w:left="780" w:leftChars="200" w:hanging="360" w:hangingChars="200"/>
        <w:rPr>
          <w:rFonts w:ascii="Arial" w:hAnsi="Arial" w:cs="Arial"/>
          <w:sz w:val="18"/>
          <w:szCs w:val="18"/>
        </w:rPr>
      </w:pPr>
      <w:r>
        <w:rPr>
          <w:rFonts w:ascii="Arial" w:hAnsi="Arial" w:cs="Arial"/>
          <w:sz w:val="18"/>
          <w:szCs w:val="18"/>
        </w:rPr>
        <w:t>注：1 本章的普通砖、多孔砖、混凝土小型空心砌块等块体的材料性能和砌体力学性能应符合《砌体结构设计规范》GB50003的有关规定；</w:t>
      </w:r>
    </w:p>
    <w:p>
      <w:pPr>
        <w:spacing w:line="360" w:lineRule="auto"/>
        <w:ind w:firstLine="675" w:firstLineChars="375"/>
        <w:rPr>
          <w:rFonts w:ascii="Arial" w:hAnsi="Arial" w:cs="Arial"/>
          <w:sz w:val="18"/>
          <w:szCs w:val="18"/>
        </w:rPr>
      </w:pPr>
      <w:r>
        <w:rPr>
          <w:rFonts w:ascii="Arial" w:hAnsi="Arial" w:cs="Arial"/>
          <w:sz w:val="18"/>
          <w:szCs w:val="18"/>
        </w:rPr>
        <w:t>2 本章中</w:t>
      </w:r>
      <w:r>
        <w:rPr>
          <w:rFonts w:hint="eastAsia" w:ascii="Arial" w:hAnsi="Arial" w:cs="Arial"/>
          <w:sz w:val="18"/>
          <w:szCs w:val="18"/>
        </w:rPr>
        <w:t>“</w:t>
      </w:r>
      <w:r>
        <w:rPr>
          <w:rFonts w:ascii="Arial" w:hAnsi="Arial" w:cs="Arial"/>
          <w:sz w:val="18"/>
          <w:szCs w:val="18"/>
        </w:rPr>
        <w:t>小砌块</w:t>
      </w:r>
      <w:r>
        <w:rPr>
          <w:rFonts w:hint="eastAsia" w:ascii="Arial" w:hAnsi="Arial" w:cs="Arial"/>
          <w:sz w:val="18"/>
          <w:szCs w:val="18"/>
        </w:rPr>
        <w:t>”</w:t>
      </w:r>
      <w:r>
        <w:rPr>
          <w:rFonts w:ascii="Arial" w:hAnsi="Arial" w:cs="Arial"/>
          <w:sz w:val="18"/>
          <w:szCs w:val="18"/>
        </w:rPr>
        <w:t>为</w:t>
      </w:r>
      <w:r>
        <w:rPr>
          <w:rFonts w:hint="eastAsia" w:ascii="Arial" w:hAnsi="Arial" w:cs="Arial"/>
          <w:sz w:val="18"/>
          <w:szCs w:val="18"/>
        </w:rPr>
        <w:t>“</w:t>
      </w:r>
      <w:r>
        <w:rPr>
          <w:rFonts w:ascii="Arial" w:hAnsi="Arial" w:cs="Arial"/>
          <w:sz w:val="18"/>
          <w:szCs w:val="18"/>
        </w:rPr>
        <w:t>混凝土小型空心砌块</w:t>
      </w:r>
      <w:r>
        <w:rPr>
          <w:rFonts w:hint="eastAsia" w:ascii="Arial" w:hAnsi="Arial" w:cs="Arial"/>
          <w:sz w:val="18"/>
          <w:szCs w:val="18"/>
        </w:rPr>
        <w:t>”</w:t>
      </w:r>
      <w:r>
        <w:rPr>
          <w:rFonts w:ascii="Arial" w:hAnsi="Arial" w:cs="Arial"/>
          <w:sz w:val="18"/>
          <w:szCs w:val="18"/>
        </w:rPr>
        <w:t>的简称；</w:t>
      </w:r>
    </w:p>
    <w:p>
      <w:pPr>
        <w:spacing w:line="360" w:lineRule="auto"/>
        <w:ind w:firstLine="675" w:firstLineChars="375"/>
        <w:rPr>
          <w:rFonts w:ascii="Arial" w:hAnsi="Arial" w:cs="Arial"/>
          <w:kern w:val="0"/>
          <w:szCs w:val="24"/>
        </w:rPr>
      </w:pPr>
      <w:r>
        <w:rPr>
          <w:rFonts w:ascii="Arial" w:hAnsi="Arial" w:cs="Arial"/>
          <w:sz w:val="18"/>
          <w:szCs w:val="18"/>
        </w:rPr>
        <w:t>3 非空旷的单层砌体房屋，可按本章规定的原则进行抗震设计。</w:t>
      </w:r>
    </w:p>
    <w:p>
      <w:pPr>
        <w:spacing w:line="360" w:lineRule="auto"/>
        <w:rPr>
          <w:rFonts w:ascii="Arial" w:hAnsi="Arial" w:cs="Arial"/>
          <w:sz w:val="24"/>
          <w:szCs w:val="24"/>
        </w:rPr>
      </w:pPr>
      <w:r>
        <w:rPr>
          <w:rFonts w:ascii="Arial" w:hAnsi="Arial" w:cs="Arial"/>
          <w:sz w:val="24"/>
          <w:szCs w:val="24"/>
        </w:rPr>
        <w:t>8.1.3 多层砌体承重房屋的层高，不应超过3.6m。底部框架-抗震墙砌体房屋的底部，层高不应超过4.5m；当底层采用约束砌体抗震墙时，底层的层高不应超过4.2m。</w:t>
      </w:r>
    </w:p>
    <w:p>
      <w:pPr>
        <w:spacing w:line="360" w:lineRule="auto"/>
        <w:ind w:left="780" w:leftChars="200" w:hanging="360" w:hangingChars="200"/>
        <w:rPr>
          <w:rFonts w:ascii="Arial" w:hAnsi="Arial" w:cs="Arial"/>
          <w:sz w:val="18"/>
          <w:szCs w:val="18"/>
        </w:rPr>
      </w:pPr>
      <w:r>
        <w:rPr>
          <w:rFonts w:ascii="Arial" w:hAnsi="Arial" w:cs="Arial"/>
          <w:sz w:val="18"/>
          <w:szCs w:val="18"/>
        </w:rPr>
        <w:t>注：当使用功能确有需要时，采用约束砌体等加强措施的普通砖房屋，层高不应超过3.9m。</w:t>
      </w:r>
    </w:p>
    <w:p>
      <w:pPr>
        <w:spacing w:line="360" w:lineRule="auto"/>
        <w:rPr>
          <w:rFonts w:ascii="Arial" w:hAnsi="Arial" w:cs="Arial"/>
          <w:sz w:val="24"/>
          <w:szCs w:val="24"/>
        </w:rPr>
      </w:pPr>
      <w:r>
        <w:rPr>
          <w:rFonts w:ascii="Arial" w:hAnsi="Arial" w:cs="Arial"/>
          <w:sz w:val="24"/>
          <w:szCs w:val="24"/>
        </w:rPr>
        <w:t>8.1.5 多层砌体房屋的结构体系，应符合下列要求：</w:t>
      </w:r>
    </w:p>
    <w:p>
      <w:pPr>
        <w:spacing w:line="360" w:lineRule="auto"/>
        <w:ind w:firstLine="480" w:firstLineChars="200"/>
        <w:rPr>
          <w:rFonts w:ascii="Arial" w:hAnsi="Arial" w:cs="Arial"/>
          <w:kern w:val="0"/>
          <w:sz w:val="24"/>
          <w:szCs w:val="24"/>
        </w:rPr>
      </w:pPr>
      <w:r>
        <w:rPr>
          <w:rFonts w:ascii="Arial" w:hAnsi="Arial" w:cs="Arial"/>
          <w:kern w:val="0"/>
          <w:sz w:val="24"/>
          <w:szCs w:val="24"/>
        </w:rPr>
        <w:t>1 应优先采用横墙承重或纵横墙共同承重的结构体系。不应采用砌体墙和混凝土墙混合承重的结构体系。</w:t>
      </w:r>
    </w:p>
    <w:p>
      <w:pPr>
        <w:spacing w:line="360" w:lineRule="auto"/>
        <w:ind w:firstLine="480" w:firstLineChars="200"/>
        <w:rPr>
          <w:rFonts w:ascii="Arial" w:hAnsi="Arial" w:cs="Arial"/>
          <w:kern w:val="0"/>
          <w:sz w:val="24"/>
          <w:szCs w:val="24"/>
        </w:rPr>
      </w:pPr>
      <w:r>
        <w:rPr>
          <w:rFonts w:ascii="Arial" w:hAnsi="Arial" w:cs="Arial"/>
          <w:kern w:val="0"/>
          <w:sz w:val="24"/>
          <w:szCs w:val="24"/>
        </w:rPr>
        <w:t>2 纵横向砌体抗震墙的布置应符合下列要求：</w:t>
      </w:r>
    </w:p>
    <w:p>
      <w:pPr>
        <w:pStyle w:val="78"/>
        <w:numPr>
          <w:ilvl w:val="0"/>
          <w:numId w:val="17"/>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宜均匀对称，沿平面内宜对齐，沿竖向应上下连续；且纵横向墙体的数量不宜相差过大；</w:t>
      </w:r>
    </w:p>
    <w:p>
      <w:pPr>
        <w:pStyle w:val="78"/>
        <w:numPr>
          <w:ilvl w:val="0"/>
          <w:numId w:val="17"/>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平面轮廓凹凸尺寸，不应超过典型尺寸的35%；当超过典型尺寸的25%时，房屋转角处应采取加强措施；</w:t>
      </w:r>
    </w:p>
    <w:p>
      <w:pPr>
        <w:pStyle w:val="78"/>
        <w:numPr>
          <w:ilvl w:val="0"/>
          <w:numId w:val="17"/>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楼板局部大洞口的尺寸不宜超过楼板宽度的30%，且不应在墙体两侧同时开洞；</w:t>
      </w:r>
    </w:p>
    <w:p>
      <w:pPr>
        <w:pStyle w:val="78"/>
        <w:numPr>
          <w:ilvl w:val="0"/>
          <w:numId w:val="17"/>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同一轴线上的窗间墙宽度宜均匀；墙面洞口的面积，6、7度时不宜大于墙面总面积的55%，8度时不宜大于50%；</w:t>
      </w:r>
    </w:p>
    <w:p>
      <w:pPr>
        <w:pStyle w:val="78"/>
        <w:numPr>
          <w:ilvl w:val="0"/>
          <w:numId w:val="17"/>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在房屋宽度方向的中部应设置内纵墙，其累计长度不宜小于房屋总长度的60%（高宽比大于4的墙段不计入）。</w:t>
      </w:r>
    </w:p>
    <w:p>
      <w:pPr>
        <w:spacing w:line="360" w:lineRule="auto"/>
        <w:ind w:firstLine="480" w:firstLineChars="200"/>
        <w:rPr>
          <w:rFonts w:ascii="Arial" w:hAnsi="Arial" w:cs="Arial"/>
          <w:kern w:val="0"/>
          <w:sz w:val="24"/>
          <w:szCs w:val="24"/>
        </w:rPr>
      </w:pPr>
      <w:r>
        <w:rPr>
          <w:rFonts w:ascii="Arial" w:hAnsi="Arial" w:cs="Arial"/>
          <w:kern w:val="0"/>
          <w:sz w:val="24"/>
          <w:szCs w:val="24"/>
        </w:rPr>
        <w:t>3 房屋有下列情况之一时宜设置防震缝，缝两侧均应设置墙体，缝宽应根据烈度和房屋高度确定，可采用100mm～150mm：</w:t>
      </w:r>
    </w:p>
    <w:p>
      <w:pPr>
        <w:pStyle w:val="78"/>
        <w:numPr>
          <w:ilvl w:val="0"/>
          <w:numId w:val="18"/>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房屋立面高差在6m以上；</w:t>
      </w:r>
    </w:p>
    <w:p>
      <w:pPr>
        <w:pStyle w:val="78"/>
        <w:numPr>
          <w:ilvl w:val="0"/>
          <w:numId w:val="18"/>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房屋有错层，且楼板高差大于500</w:t>
      </w:r>
      <w:r>
        <w:rPr>
          <w:rFonts w:hint="eastAsia" w:ascii="Arial" w:hAnsi="Arial" w:cs="Arial"/>
          <w:kern w:val="0"/>
          <w:sz w:val="24"/>
          <w:szCs w:val="24"/>
        </w:rPr>
        <w:t>mm</w:t>
      </w:r>
      <w:r>
        <w:rPr>
          <w:rFonts w:ascii="Arial" w:hAnsi="Arial" w:cs="Arial"/>
          <w:kern w:val="0"/>
          <w:sz w:val="24"/>
          <w:szCs w:val="24"/>
        </w:rPr>
        <w:t>；</w:t>
      </w:r>
    </w:p>
    <w:p>
      <w:pPr>
        <w:pStyle w:val="78"/>
        <w:numPr>
          <w:ilvl w:val="0"/>
          <w:numId w:val="18"/>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各部分结构刚度、质量截然不同。</w:t>
      </w:r>
    </w:p>
    <w:p>
      <w:pPr>
        <w:pStyle w:val="78"/>
        <w:numPr>
          <w:ilvl w:val="0"/>
          <w:numId w:val="18"/>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楼梯间不宜设置在房屋的尽端和转角处。</w:t>
      </w:r>
    </w:p>
    <w:p>
      <w:pPr>
        <w:pStyle w:val="78"/>
        <w:numPr>
          <w:ilvl w:val="0"/>
          <w:numId w:val="18"/>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不应在房屋转角处设置转角窗。</w:t>
      </w:r>
    </w:p>
    <w:p>
      <w:pPr>
        <w:pStyle w:val="78"/>
        <w:numPr>
          <w:ilvl w:val="0"/>
          <w:numId w:val="18"/>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横墙较少、跨度较大的房屋，宜采用现浇钢筋混凝土楼、屋盖。</w:t>
      </w:r>
    </w:p>
    <w:p>
      <w:pPr>
        <w:spacing w:line="360" w:lineRule="auto"/>
        <w:rPr>
          <w:rFonts w:ascii="Arial" w:hAnsi="Arial" w:cs="Arial"/>
          <w:sz w:val="24"/>
          <w:szCs w:val="24"/>
        </w:rPr>
      </w:pPr>
      <w:r>
        <w:rPr>
          <w:rFonts w:ascii="Arial" w:hAnsi="Arial" w:cs="Arial"/>
          <w:sz w:val="24"/>
          <w:szCs w:val="24"/>
        </w:rPr>
        <w:t>8.1.8 多层砌体房屋中砌体墙段的局部尺寸限值，宜符合表8.1.8的要求：</w:t>
      </w:r>
    </w:p>
    <w:p>
      <w:pPr>
        <w:spacing w:before="156" w:beforeLines="50" w:after="156" w:afterLines="50"/>
        <w:ind w:right="-50" w:rightChars="-24"/>
        <w:jc w:val="center"/>
        <w:rPr>
          <w:rFonts w:ascii="Arial" w:hAnsi="Arial" w:cs="Arial"/>
          <w:szCs w:val="21"/>
        </w:rPr>
      </w:pPr>
      <w:r>
        <w:rPr>
          <w:rFonts w:ascii="Arial" w:hAnsi="Arial" w:cs="Arial"/>
          <w:szCs w:val="21"/>
        </w:rPr>
        <w:drawing>
          <wp:inline distT="0" distB="0" distL="0" distR="0">
            <wp:extent cx="4754880" cy="2692400"/>
            <wp:effectExtent l="19050" t="0" r="7620" b="0"/>
            <wp:docPr id="41" name="图片 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55"/>
                    <pic:cNvPicPr>
                      <a:picLocks noChangeAspect="true" noChangeArrowheads="true"/>
                    </pic:cNvPicPr>
                  </pic:nvPicPr>
                  <pic:blipFill>
                    <a:blip r:embed="rId57"/>
                    <a:srcRect/>
                    <a:stretch>
                      <a:fillRect/>
                    </a:stretch>
                  </pic:blipFill>
                  <pic:spPr>
                    <a:xfrm>
                      <a:off x="0" y="0"/>
                      <a:ext cx="4754880" cy="2692400"/>
                    </a:xfrm>
                    <a:prstGeom prst="rect">
                      <a:avLst/>
                    </a:prstGeom>
                    <a:noFill/>
                    <a:ln w="9525">
                      <a:noFill/>
                      <a:miter lim="800000"/>
                      <a:headEnd/>
                      <a:tailEnd/>
                    </a:ln>
                  </pic:spPr>
                </pic:pic>
              </a:graphicData>
            </a:graphic>
          </wp:inline>
        </w:drawing>
      </w:r>
    </w:p>
    <w:p>
      <w:pPr>
        <w:spacing w:line="360" w:lineRule="auto"/>
        <w:rPr>
          <w:rFonts w:ascii="Arial" w:hAnsi="Arial" w:cs="Arial"/>
          <w:sz w:val="24"/>
          <w:szCs w:val="24"/>
        </w:rPr>
      </w:pPr>
      <w:r>
        <w:rPr>
          <w:rFonts w:ascii="Arial" w:hAnsi="Arial" w:cs="Arial"/>
          <w:sz w:val="24"/>
          <w:szCs w:val="24"/>
        </w:rPr>
        <w:t>8.1.9 底部框架-抗震墙砌体房屋的钢筋混凝土结构部分，除应符合本章规定外，尚应符合本</w:t>
      </w:r>
      <w:r>
        <w:rPr>
          <w:rFonts w:hint="eastAsia" w:ascii="Arial" w:hAnsi="Arial" w:cs="Arial"/>
          <w:sz w:val="24"/>
          <w:szCs w:val="24"/>
        </w:rPr>
        <w:t>规程</w:t>
      </w:r>
      <w:r>
        <w:rPr>
          <w:rFonts w:ascii="Arial" w:hAnsi="Arial" w:cs="Arial"/>
          <w:sz w:val="24"/>
          <w:szCs w:val="24"/>
        </w:rPr>
        <w:t>第6章的有关要求；此时，底部的混凝土框架的抗震等级，6、7、8度应分别按三、二、一级采用，混凝土墙体的抗震等级，6、7、8度应分别按三、三、二级采用。</w:t>
      </w:r>
    </w:p>
    <w:p>
      <w:pPr>
        <w:spacing w:line="360" w:lineRule="auto"/>
        <w:rPr>
          <w:rFonts w:ascii="Arial" w:hAnsi="Arial" w:cs="Arial"/>
          <w:sz w:val="24"/>
          <w:szCs w:val="24"/>
        </w:rPr>
      </w:pPr>
      <w:r>
        <w:rPr>
          <w:rFonts w:ascii="Arial" w:hAnsi="Arial" w:cs="Arial"/>
          <w:sz w:val="24"/>
          <w:szCs w:val="24"/>
        </w:rPr>
        <w:t>8.2.7 普通砖、多孔砖墙体的截面抗震受剪承载力，应按下列规定验算：</w:t>
      </w:r>
    </w:p>
    <w:p>
      <w:pPr>
        <w:spacing w:line="360" w:lineRule="auto"/>
        <w:ind w:firstLine="480" w:firstLineChars="200"/>
        <w:rPr>
          <w:rFonts w:ascii="Arial" w:hAnsi="Arial" w:cs="Arial"/>
          <w:kern w:val="0"/>
          <w:sz w:val="24"/>
          <w:szCs w:val="24"/>
        </w:rPr>
      </w:pPr>
      <w:r>
        <w:rPr>
          <w:rFonts w:ascii="Arial" w:hAnsi="Arial" w:cs="Arial"/>
          <w:kern w:val="0"/>
          <w:sz w:val="24"/>
          <w:szCs w:val="24"/>
        </w:rPr>
        <w:t>2 采用水平配筋的墙体，应按下式验算：</w:t>
      </w:r>
    </w:p>
    <w:p>
      <w:pPr>
        <w:spacing w:before="156" w:beforeLines="50" w:after="156" w:afterLines="50"/>
        <w:ind w:right="88" w:rightChars="42"/>
        <w:jc w:val="right"/>
        <w:rPr>
          <w:rFonts w:ascii="Arial" w:hAnsi="Arial" w:cs="Arial"/>
          <w:szCs w:val="21"/>
        </w:rPr>
      </w:pPr>
      <w:r>
        <w:drawing>
          <wp:inline distT="0" distB="0" distL="0" distR="0">
            <wp:extent cx="3286760" cy="457200"/>
            <wp:effectExtent l="0" t="0" r="8890" b="0"/>
            <wp:docPr id="59" name="图片 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true"/>
                    </pic:cNvPicPr>
                  </pic:nvPicPr>
                  <pic:blipFill>
                    <a:blip r:embed="rId58"/>
                    <a:stretch>
                      <a:fillRect/>
                    </a:stretch>
                  </pic:blipFill>
                  <pic:spPr>
                    <a:xfrm>
                      <a:off x="0" y="0"/>
                      <a:ext cx="3296889" cy="458591"/>
                    </a:xfrm>
                    <a:prstGeom prst="rect">
                      <a:avLst/>
                    </a:prstGeom>
                  </pic:spPr>
                </pic:pic>
              </a:graphicData>
            </a:graphic>
          </wp:inline>
        </w:drawing>
      </w:r>
    </w:p>
    <w:p>
      <w:pPr>
        <w:spacing w:line="360" w:lineRule="auto"/>
        <w:ind w:firstLine="480" w:firstLineChars="200"/>
        <w:rPr>
          <w:rFonts w:ascii="Arial" w:hAnsi="Arial" w:cs="Arial"/>
          <w:kern w:val="0"/>
          <w:sz w:val="24"/>
          <w:szCs w:val="24"/>
        </w:rPr>
      </w:pPr>
      <w:r>
        <w:rPr>
          <w:rFonts w:ascii="Arial" w:hAnsi="Arial" w:cs="Arial"/>
          <w:kern w:val="0"/>
          <w:sz w:val="24"/>
          <w:szCs w:val="24"/>
        </w:rPr>
        <w:t>式中：V——墙体剪力设计值；</w:t>
      </w:r>
    </w:p>
    <w:p>
      <w:pPr>
        <w:spacing w:line="360" w:lineRule="auto"/>
        <w:ind w:left="1208" w:leftChars="575"/>
        <w:rPr>
          <w:rFonts w:ascii="Arial" w:hAnsi="Arial" w:cs="Arial"/>
          <w:kern w:val="0"/>
          <w:sz w:val="24"/>
          <w:szCs w:val="24"/>
        </w:rPr>
      </w:pPr>
      <w:r>
        <w:rPr>
          <w:rFonts w:ascii="Arial" w:hAnsi="Arial" w:cs="Arial"/>
          <w:kern w:val="0"/>
          <w:sz w:val="24"/>
          <w:szCs w:val="24"/>
        </w:rPr>
        <w:t>f</w:t>
      </w:r>
      <w:r>
        <w:rPr>
          <w:rFonts w:ascii="Arial" w:hAnsi="Arial" w:cs="Arial"/>
          <w:kern w:val="0"/>
          <w:sz w:val="24"/>
          <w:szCs w:val="24"/>
          <w:vertAlign w:val="subscript"/>
        </w:rPr>
        <w:t>yh</w:t>
      </w:r>
      <w:r>
        <w:rPr>
          <w:rFonts w:ascii="Arial" w:hAnsi="Arial" w:cs="Arial"/>
          <w:kern w:val="0"/>
          <w:sz w:val="24"/>
          <w:szCs w:val="24"/>
        </w:rPr>
        <w:t>——水平钢筋抗拉强度设计值；</w:t>
      </w:r>
    </w:p>
    <w:p>
      <w:pPr>
        <w:spacing w:line="360" w:lineRule="auto"/>
        <w:ind w:left="1208" w:leftChars="575"/>
        <w:rPr>
          <w:rFonts w:ascii="Arial" w:hAnsi="Arial" w:cs="Arial"/>
          <w:kern w:val="0"/>
          <w:sz w:val="24"/>
          <w:szCs w:val="24"/>
        </w:rPr>
      </w:pPr>
      <w:r>
        <w:rPr>
          <w:rFonts w:ascii="Arial" w:hAnsi="Arial" w:cs="Arial"/>
          <w:kern w:val="0"/>
          <w:sz w:val="24"/>
          <w:szCs w:val="24"/>
        </w:rPr>
        <w:t>A</w:t>
      </w:r>
      <w:r>
        <w:rPr>
          <w:rFonts w:ascii="Arial" w:hAnsi="Arial" w:cs="Arial"/>
          <w:kern w:val="0"/>
          <w:sz w:val="24"/>
          <w:szCs w:val="24"/>
          <w:vertAlign w:val="subscript"/>
        </w:rPr>
        <w:t>sh</w:t>
      </w:r>
      <w:r>
        <w:rPr>
          <w:rFonts w:ascii="Arial" w:hAnsi="Arial" w:cs="Arial"/>
          <w:kern w:val="0"/>
          <w:sz w:val="24"/>
          <w:szCs w:val="24"/>
        </w:rPr>
        <w:t>——层间墙体竖向截面的总水平钢筋面积，其配筋率应不小于0.07%且不大于0.17%；</w:t>
      </w:r>
    </w:p>
    <w:p>
      <w:pPr>
        <w:spacing w:line="360" w:lineRule="auto"/>
        <w:ind w:left="1208" w:leftChars="575"/>
        <w:rPr>
          <w:rFonts w:ascii="Arial" w:hAnsi="Arial" w:cs="Arial"/>
          <w:kern w:val="0"/>
          <w:sz w:val="24"/>
          <w:szCs w:val="24"/>
        </w:rPr>
      </w:pPr>
      <w:r>
        <w:rPr>
          <w:rFonts w:ascii="Arial" w:hAnsi="Arial" w:cs="Arial"/>
          <w:kern w:val="0"/>
          <w:sz w:val="24"/>
          <w:szCs w:val="24"/>
        </w:rPr>
        <w:t>ζ</w:t>
      </w:r>
      <w:r>
        <w:rPr>
          <w:rFonts w:ascii="Arial" w:hAnsi="Arial" w:cs="Arial"/>
          <w:kern w:val="0"/>
          <w:sz w:val="24"/>
          <w:szCs w:val="24"/>
          <w:vertAlign w:val="subscript"/>
        </w:rPr>
        <w:t>s</w:t>
      </w:r>
      <w:r>
        <w:rPr>
          <w:rFonts w:ascii="Arial" w:hAnsi="Arial" w:cs="Arial"/>
          <w:kern w:val="0"/>
          <w:sz w:val="24"/>
          <w:szCs w:val="24"/>
        </w:rPr>
        <w:t>——钢筋参与工作系数，可按表8.2.7采用。</w:t>
      </w:r>
    </w:p>
    <w:p>
      <w:pPr>
        <w:spacing w:before="156" w:beforeLines="50" w:after="156" w:afterLines="50"/>
        <w:ind w:right="88" w:rightChars="42"/>
        <w:jc w:val="center"/>
        <w:rPr>
          <w:rFonts w:ascii="Arial" w:hAnsi="Arial" w:cs="Arial"/>
          <w:b/>
          <w:szCs w:val="21"/>
        </w:rPr>
      </w:pPr>
      <w:r>
        <w:rPr>
          <w:rFonts w:ascii="Arial" w:hAnsi="Arial" w:cs="Arial"/>
          <w:szCs w:val="21"/>
        </w:rPr>
        <w:drawing>
          <wp:inline distT="0" distB="0" distL="0" distR="0">
            <wp:extent cx="4495800" cy="914400"/>
            <wp:effectExtent l="19050" t="0" r="0" b="0"/>
            <wp:docPr id="43" name="图片 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57"/>
                    <pic:cNvPicPr>
                      <a:picLocks noChangeAspect="true" noChangeArrowheads="true"/>
                    </pic:cNvPicPr>
                  </pic:nvPicPr>
                  <pic:blipFill>
                    <a:blip r:embed="rId59"/>
                    <a:srcRect/>
                    <a:stretch>
                      <a:fillRect/>
                    </a:stretch>
                  </pic:blipFill>
                  <pic:spPr>
                    <a:xfrm>
                      <a:off x="0" y="0"/>
                      <a:ext cx="4495800" cy="914400"/>
                    </a:xfrm>
                    <a:prstGeom prst="rect">
                      <a:avLst/>
                    </a:prstGeom>
                    <a:noFill/>
                    <a:ln w="9525">
                      <a:noFill/>
                      <a:miter lim="800000"/>
                      <a:headEnd/>
                      <a:tailEnd/>
                    </a:ln>
                  </pic:spPr>
                </pic:pic>
              </a:graphicData>
            </a:graphic>
          </wp:inline>
        </w:drawing>
      </w:r>
    </w:p>
    <w:p>
      <w:pPr>
        <w:spacing w:line="360" w:lineRule="auto"/>
        <w:rPr>
          <w:rFonts w:ascii="Arial" w:hAnsi="Arial" w:cs="Arial"/>
          <w:sz w:val="24"/>
          <w:szCs w:val="24"/>
        </w:rPr>
      </w:pPr>
      <w:r>
        <w:rPr>
          <w:rFonts w:ascii="Arial" w:hAnsi="Arial" w:cs="Arial"/>
          <w:sz w:val="24"/>
          <w:szCs w:val="24"/>
        </w:rPr>
        <w:t xml:space="preserve">8.3.1 </w:t>
      </w:r>
      <w:r>
        <w:rPr>
          <w:rFonts w:hint="eastAsia" w:ascii="Arial" w:hAnsi="Arial" w:cs="Arial"/>
          <w:sz w:val="24"/>
          <w:szCs w:val="24"/>
        </w:rPr>
        <w:t>各类多层砖砌体房屋，应按下列要求设置现浇钢筋混凝土构造柱（以下简称构造柱）：</w:t>
      </w:r>
    </w:p>
    <w:p>
      <w:pPr>
        <w:spacing w:line="360" w:lineRule="auto"/>
        <w:ind w:firstLine="424" w:firstLineChars="177"/>
        <w:rPr>
          <w:rFonts w:ascii="Arial" w:hAnsi="Arial" w:cs="Arial"/>
          <w:sz w:val="24"/>
          <w:szCs w:val="24"/>
        </w:rPr>
      </w:pPr>
      <w:r>
        <w:rPr>
          <w:rFonts w:hint="eastAsia" w:ascii="Arial" w:hAnsi="Arial" w:cs="Arial"/>
          <w:sz w:val="24"/>
          <w:szCs w:val="24"/>
        </w:rPr>
        <w:t>1</w:t>
      </w:r>
      <w:r>
        <w:rPr>
          <w:rFonts w:ascii="Arial" w:hAnsi="Arial" w:cs="Arial"/>
          <w:sz w:val="24"/>
          <w:szCs w:val="24"/>
        </w:rPr>
        <w:t xml:space="preserve"> </w:t>
      </w:r>
      <w:r>
        <w:rPr>
          <w:rFonts w:hint="eastAsia" w:ascii="Arial" w:hAnsi="Arial" w:cs="Arial"/>
          <w:sz w:val="24"/>
          <w:szCs w:val="24"/>
        </w:rPr>
        <w:t>构造柱设置部位，一般情况下应符合表8.3.1的要求。</w:t>
      </w:r>
    </w:p>
    <w:p>
      <w:pPr>
        <w:spacing w:line="360" w:lineRule="auto"/>
        <w:ind w:firstLine="424" w:firstLineChars="177"/>
        <w:rPr>
          <w:rFonts w:ascii="Arial" w:hAnsi="Arial" w:cs="Arial"/>
          <w:sz w:val="24"/>
          <w:szCs w:val="24"/>
        </w:rPr>
      </w:pPr>
      <w:r>
        <w:rPr>
          <w:rFonts w:hint="eastAsia" w:ascii="Arial" w:hAnsi="Arial" w:cs="Arial"/>
          <w:sz w:val="24"/>
          <w:szCs w:val="24"/>
        </w:rPr>
        <w:t>2</w:t>
      </w:r>
      <w:r>
        <w:rPr>
          <w:rFonts w:ascii="Arial" w:hAnsi="Arial" w:cs="Arial"/>
          <w:sz w:val="24"/>
          <w:szCs w:val="24"/>
        </w:rPr>
        <w:t xml:space="preserve"> </w:t>
      </w:r>
      <w:r>
        <w:rPr>
          <w:rFonts w:hint="eastAsia" w:ascii="Arial" w:hAnsi="Arial" w:cs="Arial"/>
          <w:sz w:val="24"/>
          <w:szCs w:val="24"/>
        </w:rPr>
        <w:t>外廊式和单面走廊式的多层房屋应根据房屋增加一层后的层数，按表8.3.1的要求设置构造柱，且单面走廊两侧的纵墙均应按外墙处理。</w:t>
      </w:r>
    </w:p>
    <w:p>
      <w:pPr>
        <w:spacing w:line="360" w:lineRule="auto"/>
        <w:ind w:firstLine="424" w:firstLineChars="177"/>
        <w:rPr>
          <w:rFonts w:ascii="Arial" w:hAnsi="Arial" w:cs="Arial"/>
          <w:sz w:val="24"/>
          <w:szCs w:val="24"/>
        </w:rPr>
      </w:pPr>
      <w:r>
        <w:rPr>
          <w:rFonts w:hint="eastAsia" w:ascii="Arial" w:hAnsi="Arial" w:cs="Arial"/>
          <w:sz w:val="24"/>
          <w:szCs w:val="24"/>
        </w:rPr>
        <w:t>3</w:t>
      </w:r>
      <w:r>
        <w:rPr>
          <w:rFonts w:ascii="Arial" w:hAnsi="Arial" w:cs="Arial"/>
          <w:sz w:val="24"/>
          <w:szCs w:val="24"/>
        </w:rPr>
        <w:t xml:space="preserve"> </w:t>
      </w:r>
      <w:r>
        <w:rPr>
          <w:rFonts w:hint="eastAsia" w:ascii="Arial" w:hAnsi="Arial" w:cs="Arial"/>
          <w:sz w:val="24"/>
          <w:szCs w:val="24"/>
        </w:rPr>
        <w:t>横墙较少的房屋，应根据房屋增加一层后的层数，按表8.3.1的要求设置构造柱。当横墙较少的房屋为外廊式或单面走廊式时，应按本条第2款要求设置构造柱；但6度不超过四层、7度不超过三层和8度不超过二层时应按增加二层的层数设置构造柱。</w:t>
      </w:r>
    </w:p>
    <w:p>
      <w:pPr>
        <w:spacing w:line="360" w:lineRule="auto"/>
        <w:ind w:firstLine="424" w:firstLineChars="177"/>
        <w:rPr>
          <w:rFonts w:ascii="Arial" w:hAnsi="Arial" w:cs="Arial"/>
          <w:sz w:val="24"/>
          <w:szCs w:val="24"/>
        </w:rPr>
      </w:pPr>
      <w:r>
        <w:rPr>
          <w:rFonts w:hint="eastAsia" w:ascii="Arial" w:hAnsi="Arial" w:cs="Arial"/>
          <w:sz w:val="24"/>
          <w:szCs w:val="24"/>
        </w:rPr>
        <w:t>4</w:t>
      </w:r>
      <w:r>
        <w:rPr>
          <w:rFonts w:ascii="Arial" w:hAnsi="Arial" w:cs="Arial"/>
          <w:sz w:val="24"/>
          <w:szCs w:val="24"/>
        </w:rPr>
        <w:t xml:space="preserve"> </w:t>
      </w:r>
      <w:r>
        <w:rPr>
          <w:rFonts w:hint="eastAsia" w:ascii="Arial" w:hAnsi="Arial" w:cs="Arial"/>
          <w:sz w:val="24"/>
          <w:szCs w:val="24"/>
        </w:rPr>
        <w:t>各层横墙很少的房屋，应按增加二层的层数设置构造柱。</w:t>
      </w:r>
    </w:p>
    <w:p>
      <w:pPr>
        <w:spacing w:line="360" w:lineRule="auto"/>
        <w:ind w:firstLine="424" w:firstLineChars="177"/>
        <w:rPr>
          <w:rFonts w:ascii="Arial" w:hAnsi="Arial" w:cs="Arial"/>
          <w:sz w:val="24"/>
          <w:szCs w:val="24"/>
        </w:rPr>
      </w:pPr>
      <w:r>
        <w:rPr>
          <w:rFonts w:hint="eastAsia" w:ascii="Arial" w:hAnsi="Arial" w:cs="Arial"/>
          <w:sz w:val="24"/>
          <w:szCs w:val="24"/>
        </w:rPr>
        <w:t>5</w:t>
      </w:r>
      <w:r>
        <w:rPr>
          <w:rFonts w:ascii="Arial" w:hAnsi="Arial" w:cs="Arial"/>
          <w:sz w:val="24"/>
          <w:szCs w:val="24"/>
        </w:rPr>
        <w:t xml:space="preserve"> </w:t>
      </w:r>
      <w:r>
        <w:rPr>
          <w:rFonts w:hint="eastAsia" w:ascii="Arial" w:hAnsi="Arial" w:cs="Arial"/>
          <w:sz w:val="24"/>
          <w:szCs w:val="24"/>
        </w:rPr>
        <w:t>采用蒸压灰砂砖和蒸压粉煤灰砖的砌体房屋，当砌体的抗剪强度仅达到普通粘土砖砌体的70%时，应根据增加一层的层数按本条1~4款要求设置构造柱；但6度不超过四层、7度不超过三层和8度不超过二层时应按增加二层的层数对待。</w:t>
      </w:r>
    </w:p>
    <w:p>
      <w:pPr>
        <w:spacing w:line="360" w:lineRule="auto"/>
        <w:jc w:val="center"/>
        <w:rPr>
          <w:rFonts w:ascii="Arial" w:hAnsi="Arial" w:cs="Arial"/>
          <w:sz w:val="24"/>
          <w:szCs w:val="24"/>
        </w:rPr>
      </w:pPr>
      <w:r>
        <w:drawing>
          <wp:inline distT="0" distB="0" distL="0" distR="0">
            <wp:extent cx="4165600" cy="2580005"/>
            <wp:effectExtent l="0" t="0" r="6350" b="10795"/>
            <wp:docPr id="22"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true"/>
                    </pic:cNvPicPr>
                  </pic:nvPicPr>
                  <pic:blipFill>
                    <a:blip r:embed="rId60"/>
                    <a:stretch>
                      <a:fillRect/>
                    </a:stretch>
                  </pic:blipFill>
                  <pic:spPr>
                    <a:xfrm>
                      <a:off x="0" y="0"/>
                      <a:ext cx="4165600" cy="2580005"/>
                    </a:xfrm>
                    <a:prstGeom prst="rect">
                      <a:avLst/>
                    </a:prstGeom>
                  </pic:spPr>
                </pic:pic>
              </a:graphicData>
            </a:graphic>
          </wp:inline>
        </w:drawing>
      </w:r>
    </w:p>
    <w:p>
      <w:pPr>
        <w:spacing w:line="360" w:lineRule="auto"/>
        <w:rPr>
          <w:rFonts w:ascii="Arial" w:hAnsi="Arial" w:cs="Arial"/>
          <w:sz w:val="24"/>
          <w:szCs w:val="24"/>
        </w:rPr>
      </w:pPr>
      <w:r>
        <w:rPr>
          <w:rFonts w:ascii="Arial" w:hAnsi="Arial" w:cs="Arial"/>
          <w:sz w:val="24"/>
          <w:szCs w:val="24"/>
        </w:rPr>
        <w:t>8.3.2 多层砖砌体房屋的构造柱应符合下列构造要求：</w:t>
      </w:r>
    </w:p>
    <w:p>
      <w:pPr>
        <w:spacing w:line="360" w:lineRule="auto"/>
        <w:ind w:firstLine="480" w:firstLineChars="200"/>
        <w:rPr>
          <w:rFonts w:ascii="Arial" w:hAnsi="Arial" w:cs="Arial"/>
          <w:kern w:val="0"/>
          <w:sz w:val="24"/>
          <w:szCs w:val="24"/>
        </w:rPr>
      </w:pPr>
      <w:r>
        <w:rPr>
          <w:rFonts w:ascii="Arial" w:hAnsi="Arial" w:cs="Arial"/>
          <w:kern w:val="0"/>
          <w:sz w:val="24"/>
          <w:szCs w:val="24"/>
        </w:rPr>
        <w:t>1 构造柱最小截面可采用180mm</w:t>
      </w:r>
      <w:r>
        <w:rPr>
          <w:rFonts w:ascii="Arial" w:hAnsi="Arial" w:cs="Arial"/>
          <w:sz w:val="24"/>
          <w:szCs w:val="24"/>
        </w:rPr>
        <w:t>×</w:t>
      </w:r>
      <w:r>
        <w:rPr>
          <w:rFonts w:ascii="Arial" w:hAnsi="Arial" w:cs="Arial"/>
          <w:kern w:val="0"/>
          <w:sz w:val="24"/>
          <w:szCs w:val="24"/>
        </w:rPr>
        <w:t>240mm（墙厚190mm时为180mm</w:t>
      </w:r>
      <w:r>
        <w:rPr>
          <w:rFonts w:ascii="Arial" w:hAnsi="Arial" w:cs="Arial"/>
          <w:sz w:val="24"/>
          <w:szCs w:val="24"/>
        </w:rPr>
        <w:t>×</w:t>
      </w:r>
      <w:r>
        <w:rPr>
          <w:rFonts w:ascii="Arial" w:hAnsi="Arial" w:cs="Arial"/>
          <w:kern w:val="0"/>
          <w:sz w:val="24"/>
          <w:szCs w:val="24"/>
        </w:rPr>
        <w:t>190mm），纵向钢筋宜采用4φ12，箍筋间距不宜大于250mm，且在柱上下端应适当加密；6、7度时超过六层、8度时超过五层时，构造柱纵向钢筋宜采用4φ14，箍筋间距不应大于200mm；房屋四角的构造柱应适当加大截面及配筋。</w:t>
      </w:r>
    </w:p>
    <w:p>
      <w:pPr>
        <w:spacing w:line="360" w:lineRule="auto"/>
        <w:ind w:firstLine="480" w:firstLineChars="200"/>
        <w:rPr>
          <w:rFonts w:ascii="Arial" w:hAnsi="Arial" w:cs="Arial"/>
          <w:kern w:val="0"/>
          <w:sz w:val="24"/>
          <w:szCs w:val="24"/>
        </w:rPr>
      </w:pPr>
      <w:r>
        <w:rPr>
          <w:rFonts w:ascii="Arial" w:hAnsi="Arial" w:cs="Arial"/>
          <w:kern w:val="0"/>
          <w:sz w:val="24"/>
          <w:szCs w:val="24"/>
        </w:rPr>
        <w:t>2 构造柱与墙连接处应砌成马牙槎，沿墙高每隔500mm设2φ6水平钢筋和φ4分布短筋平面内点焊组成的拉结网片或φ4点焊钢筋网片，每边伸入墙内不宜小于1m。6、7度时底部1/3楼层，8度时底部1/2楼层，上述拉结钢筋网片应沿墙体水平通长设置。</w:t>
      </w:r>
    </w:p>
    <w:p>
      <w:pPr>
        <w:spacing w:line="360" w:lineRule="auto"/>
        <w:ind w:firstLine="480" w:firstLineChars="200"/>
        <w:rPr>
          <w:rFonts w:ascii="Arial" w:hAnsi="Arial" w:cs="Arial"/>
          <w:kern w:val="0"/>
          <w:sz w:val="24"/>
          <w:szCs w:val="24"/>
        </w:rPr>
      </w:pPr>
      <w:r>
        <w:rPr>
          <w:rFonts w:ascii="Arial" w:hAnsi="Arial" w:cs="Arial"/>
          <w:kern w:val="0"/>
          <w:sz w:val="24"/>
          <w:szCs w:val="24"/>
        </w:rPr>
        <w:t>3 构造柱与圈梁连接处，构造柱的纵筋应在圈梁纵筋内侧穿过，保证构造柱纵筋上下贯通。</w:t>
      </w:r>
    </w:p>
    <w:p>
      <w:pPr>
        <w:spacing w:line="360" w:lineRule="auto"/>
        <w:ind w:firstLine="480" w:firstLineChars="200"/>
        <w:rPr>
          <w:rFonts w:ascii="Arial" w:hAnsi="Arial" w:cs="Arial"/>
          <w:kern w:val="0"/>
          <w:sz w:val="24"/>
          <w:szCs w:val="24"/>
        </w:rPr>
      </w:pPr>
      <w:r>
        <w:rPr>
          <w:rFonts w:ascii="Arial" w:hAnsi="Arial" w:cs="Arial"/>
          <w:kern w:val="0"/>
          <w:sz w:val="24"/>
          <w:szCs w:val="24"/>
        </w:rPr>
        <w:t>4 构造柱可不单独设置基础，但应伸入室外地面下500mm，或与埋深小于500mm的基础圈梁相连。</w:t>
      </w:r>
    </w:p>
    <w:p>
      <w:pPr>
        <w:spacing w:line="360" w:lineRule="auto"/>
        <w:ind w:firstLine="480" w:firstLineChars="200"/>
        <w:rPr>
          <w:rFonts w:ascii="Arial" w:hAnsi="Arial" w:cs="Arial"/>
          <w:kern w:val="0"/>
          <w:sz w:val="24"/>
          <w:szCs w:val="24"/>
        </w:rPr>
      </w:pPr>
      <w:r>
        <w:rPr>
          <w:rFonts w:ascii="Arial" w:hAnsi="Arial" w:cs="Arial"/>
          <w:kern w:val="0"/>
          <w:sz w:val="24"/>
          <w:szCs w:val="24"/>
        </w:rPr>
        <w:t>5 房屋高度和层数接近表8.1.2的限值时，纵、横墙内构造柱间距尚应符合下列要求：</w:t>
      </w:r>
    </w:p>
    <w:p>
      <w:pPr>
        <w:pStyle w:val="78"/>
        <w:numPr>
          <w:ilvl w:val="0"/>
          <w:numId w:val="19"/>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横墙内的构造柱间距不宜大于层高的二倍；下部1/3楼层的构造柱间距适当减小；</w:t>
      </w:r>
    </w:p>
    <w:p>
      <w:pPr>
        <w:pStyle w:val="78"/>
        <w:numPr>
          <w:ilvl w:val="0"/>
          <w:numId w:val="19"/>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当外纵墙开间大于3.9m时，应另设加强措施。内纵墙的构造柱间距不宜大于4.2m。</w:t>
      </w:r>
    </w:p>
    <w:p>
      <w:pPr>
        <w:spacing w:line="360" w:lineRule="auto"/>
        <w:rPr>
          <w:rFonts w:ascii="Arial" w:hAnsi="Arial" w:cs="Arial"/>
          <w:kern w:val="0"/>
          <w:sz w:val="24"/>
          <w:szCs w:val="24"/>
        </w:rPr>
      </w:pPr>
      <w:r>
        <w:rPr>
          <w:rFonts w:ascii="Arial" w:hAnsi="Arial" w:cs="Arial"/>
          <w:kern w:val="0"/>
          <w:sz w:val="24"/>
          <w:szCs w:val="24"/>
        </w:rPr>
        <w:t>8.3.</w:t>
      </w:r>
      <w:r>
        <w:rPr>
          <w:rFonts w:hint="eastAsia" w:ascii="Arial" w:hAnsi="Arial" w:cs="Arial"/>
          <w:kern w:val="0"/>
          <w:sz w:val="24"/>
          <w:szCs w:val="24"/>
        </w:rPr>
        <w:t>3</w:t>
      </w:r>
      <w:r>
        <w:rPr>
          <w:rFonts w:ascii="Arial" w:hAnsi="Arial" w:cs="Arial"/>
          <w:kern w:val="0"/>
          <w:sz w:val="24"/>
          <w:szCs w:val="24"/>
        </w:rPr>
        <w:t xml:space="preserve"> 多层砖砌体房屋</w:t>
      </w:r>
      <w:r>
        <w:rPr>
          <w:rFonts w:hint="eastAsia" w:ascii="Arial" w:hAnsi="Arial" w:cs="Arial"/>
          <w:kern w:val="0"/>
          <w:sz w:val="24"/>
          <w:szCs w:val="24"/>
        </w:rPr>
        <w:t>的</w:t>
      </w:r>
      <w:r>
        <w:rPr>
          <w:rFonts w:ascii="Arial" w:hAnsi="Arial" w:cs="Arial"/>
          <w:kern w:val="0"/>
          <w:sz w:val="24"/>
          <w:szCs w:val="24"/>
        </w:rPr>
        <w:t>现浇混凝土圈梁</w:t>
      </w:r>
      <w:r>
        <w:rPr>
          <w:rFonts w:hint="eastAsia" w:ascii="Arial" w:hAnsi="Arial" w:cs="Arial"/>
          <w:kern w:val="0"/>
          <w:sz w:val="24"/>
          <w:szCs w:val="24"/>
        </w:rPr>
        <w:t>设置</w:t>
      </w:r>
      <w:r>
        <w:rPr>
          <w:rFonts w:ascii="Arial" w:hAnsi="Arial" w:cs="Arial"/>
          <w:kern w:val="0"/>
          <w:sz w:val="24"/>
          <w:szCs w:val="24"/>
        </w:rPr>
        <w:t>应符合下列要求：</w:t>
      </w:r>
    </w:p>
    <w:p>
      <w:pPr>
        <w:spacing w:line="360" w:lineRule="auto"/>
        <w:ind w:firstLine="480" w:firstLineChars="200"/>
        <w:rPr>
          <w:rFonts w:ascii="Arial" w:hAnsi="Arial" w:cs="Arial"/>
          <w:kern w:val="0"/>
          <w:sz w:val="24"/>
          <w:szCs w:val="24"/>
        </w:rPr>
      </w:pPr>
      <w:r>
        <w:rPr>
          <w:rFonts w:ascii="Arial" w:hAnsi="Arial" w:cs="Arial"/>
          <w:kern w:val="0"/>
          <w:sz w:val="24"/>
          <w:szCs w:val="24"/>
        </w:rPr>
        <w:t xml:space="preserve">1 </w:t>
      </w:r>
      <w:r>
        <w:rPr>
          <w:rFonts w:hint="eastAsia" w:ascii="Arial" w:hAnsi="Arial" w:cs="Arial"/>
          <w:kern w:val="0"/>
          <w:sz w:val="24"/>
          <w:szCs w:val="24"/>
        </w:rPr>
        <w:t>装配式钢筋混凝土楼、屋盖或木楼、屋盖的砖房，横墙承重时应按表8.3.3的要求设置圈梁；纵墙承重时抗震横墙上的圈梁间距应比表内要求适当加密</w:t>
      </w:r>
      <w:r>
        <w:rPr>
          <w:rFonts w:ascii="Arial" w:hAnsi="Arial" w:cs="Arial"/>
          <w:kern w:val="0"/>
          <w:sz w:val="24"/>
          <w:szCs w:val="24"/>
        </w:rPr>
        <w:t>；</w:t>
      </w:r>
    </w:p>
    <w:p>
      <w:pPr>
        <w:spacing w:line="360" w:lineRule="auto"/>
        <w:ind w:firstLine="480" w:firstLineChars="200"/>
        <w:rPr>
          <w:rFonts w:ascii="Arial" w:hAnsi="Arial" w:cs="Arial"/>
          <w:kern w:val="0"/>
          <w:sz w:val="24"/>
          <w:szCs w:val="24"/>
        </w:rPr>
      </w:pPr>
      <w:r>
        <w:rPr>
          <w:rFonts w:hint="eastAsia" w:ascii="Arial" w:hAnsi="Arial" w:cs="Arial"/>
          <w:kern w:val="0"/>
          <w:sz w:val="24"/>
          <w:szCs w:val="24"/>
        </w:rPr>
        <w:t>2 现浇或装配整体式钢筋混凝土楼、屋盖与墙体有可靠连接的房屋，应允许不另设圈梁，但楼板沿墙体周边均应加强配筋并应与相应的构造柱钢筋可靠连接。</w:t>
      </w:r>
    </w:p>
    <w:p>
      <w:pPr>
        <w:spacing w:line="360" w:lineRule="auto"/>
        <w:ind w:firstLine="420" w:firstLineChars="200"/>
        <w:jc w:val="center"/>
        <w:rPr>
          <w:rFonts w:ascii="Arial" w:hAnsi="Arial" w:cs="Arial"/>
          <w:kern w:val="0"/>
          <w:sz w:val="24"/>
          <w:szCs w:val="24"/>
        </w:rPr>
      </w:pPr>
      <w:r>
        <w:drawing>
          <wp:inline distT="0" distB="0" distL="114300" distR="114300">
            <wp:extent cx="4697095" cy="2084070"/>
            <wp:effectExtent l="0" t="0" r="1905" b="11430"/>
            <wp:docPr id="2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true"/>
                    </pic:cNvPicPr>
                  </pic:nvPicPr>
                  <pic:blipFill>
                    <a:blip r:embed="rId61"/>
                    <a:stretch>
                      <a:fillRect/>
                    </a:stretch>
                  </pic:blipFill>
                  <pic:spPr>
                    <a:xfrm>
                      <a:off x="0" y="0"/>
                      <a:ext cx="4697095" cy="2084070"/>
                    </a:xfrm>
                    <a:prstGeom prst="rect">
                      <a:avLst/>
                    </a:prstGeom>
                    <a:noFill/>
                    <a:ln>
                      <a:noFill/>
                    </a:ln>
                  </pic:spPr>
                </pic:pic>
              </a:graphicData>
            </a:graphic>
          </wp:inline>
        </w:drawing>
      </w:r>
    </w:p>
    <w:p>
      <w:pPr>
        <w:spacing w:line="360" w:lineRule="auto"/>
        <w:rPr>
          <w:rFonts w:ascii="Arial" w:hAnsi="Arial" w:cs="Arial"/>
          <w:kern w:val="0"/>
          <w:sz w:val="24"/>
          <w:szCs w:val="24"/>
        </w:rPr>
      </w:pPr>
      <w:r>
        <w:rPr>
          <w:rFonts w:ascii="Arial" w:hAnsi="Arial" w:cs="Arial"/>
          <w:kern w:val="0"/>
          <w:sz w:val="24"/>
          <w:szCs w:val="24"/>
        </w:rPr>
        <w:t>8.3.4 多层砖砌体房屋现浇混凝土圈梁构造应符合下列要求：</w:t>
      </w:r>
    </w:p>
    <w:p>
      <w:pPr>
        <w:spacing w:line="360" w:lineRule="auto"/>
        <w:ind w:firstLine="480" w:firstLineChars="200"/>
        <w:rPr>
          <w:rFonts w:ascii="Arial" w:hAnsi="Arial" w:cs="Arial"/>
          <w:kern w:val="0"/>
          <w:sz w:val="24"/>
          <w:szCs w:val="24"/>
        </w:rPr>
      </w:pPr>
      <w:r>
        <w:rPr>
          <w:rFonts w:ascii="Arial" w:hAnsi="Arial" w:cs="Arial"/>
          <w:kern w:val="0"/>
          <w:sz w:val="24"/>
          <w:szCs w:val="24"/>
        </w:rPr>
        <w:t>1 圈梁应闭合，遇有洞口圈梁应上下搭接。圈梁宜与预制板设在同一标高处或紧靠板底；</w:t>
      </w:r>
    </w:p>
    <w:p>
      <w:pPr>
        <w:spacing w:line="360" w:lineRule="auto"/>
        <w:ind w:firstLine="480" w:firstLineChars="200"/>
        <w:rPr>
          <w:rFonts w:ascii="Arial" w:hAnsi="Arial" w:cs="Arial"/>
          <w:kern w:val="0"/>
          <w:sz w:val="24"/>
          <w:szCs w:val="24"/>
        </w:rPr>
      </w:pPr>
      <w:r>
        <w:rPr>
          <w:rFonts w:ascii="Arial" w:hAnsi="Arial" w:cs="Arial"/>
          <w:kern w:val="0"/>
          <w:sz w:val="24"/>
          <w:szCs w:val="24"/>
        </w:rPr>
        <w:t>2 圈梁在本节第8.3.3条要求的间距内无横墙时，应利用梁或板缝中配筋替代圈梁；</w:t>
      </w:r>
    </w:p>
    <w:p>
      <w:pPr>
        <w:spacing w:line="360" w:lineRule="auto"/>
        <w:ind w:firstLine="480" w:firstLineChars="200"/>
        <w:rPr>
          <w:rFonts w:ascii="Arial" w:hAnsi="Arial" w:cs="Arial"/>
          <w:kern w:val="0"/>
          <w:sz w:val="24"/>
          <w:szCs w:val="24"/>
        </w:rPr>
      </w:pPr>
      <w:r>
        <w:rPr>
          <w:rFonts w:ascii="Arial" w:hAnsi="Arial" w:cs="Arial"/>
          <w:kern w:val="0"/>
          <w:sz w:val="24"/>
          <w:szCs w:val="24"/>
        </w:rPr>
        <w:t>3 圈梁的截面高度不应小于120mm，配筋应符合表8.3.4的要求；按本规程3.3.2条3款要求增设的基础圈梁，截面高度不应小于180mm，配筋不应少于4φ12。</w:t>
      </w:r>
    </w:p>
    <w:p>
      <w:pPr>
        <w:spacing w:before="156" w:beforeLines="50" w:after="156" w:afterLines="50"/>
        <w:ind w:right="88" w:rightChars="42"/>
        <w:jc w:val="center"/>
        <w:rPr>
          <w:rFonts w:ascii="Arial" w:hAnsi="Arial" w:cs="Arial"/>
          <w:szCs w:val="21"/>
        </w:rPr>
      </w:pPr>
      <w:r>
        <w:rPr>
          <w:rFonts w:ascii="Arial" w:hAnsi="Arial" w:cs="Arial"/>
          <w:szCs w:val="21"/>
        </w:rPr>
        <w:drawing>
          <wp:inline distT="0" distB="0" distL="0" distR="0">
            <wp:extent cx="4602480" cy="1498600"/>
            <wp:effectExtent l="19050" t="0" r="7620" b="0"/>
            <wp:docPr id="44" name="图片 5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58"/>
                    <pic:cNvPicPr>
                      <a:picLocks noChangeAspect="true" noChangeArrowheads="true"/>
                    </pic:cNvPicPr>
                  </pic:nvPicPr>
                  <pic:blipFill>
                    <a:blip r:embed="rId62"/>
                    <a:srcRect/>
                    <a:stretch>
                      <a:fillRect/>
                    </a:stretch>
                  </pic:blipFill>
                  <pic:spPr>
                    <a:xfrm>
                      <a:off x="0" y="0"/>
                      <a:ext cx="4602480" cy="1498600"/>
                    </a:xfrm>
                    <a:prstGeom prst="rect">
                      <a:avLst/>
                    </a:prstGeom>
                    <a:noFill/>
                    <a:ln w="9525">
                      <a:noFill/>
                      <a:miter lim="800000"/>
                      <a:headEnd/>
                      <a:tailEnd/>
                    </a:ln>
                  </pic:spPr>
                </pic:pic>
              </a:graphicData>
            </a:graphic>
          </wp:inline>
        </w:drawing>
      </w:r>
    </w:p>
    <w:p>
      <w:pPr>
        <w:spacing w:line="360" w:lineRule="auto"/>
        <w:rPr>
          <w:rFonts w:ascii="Arial" w:hAnsi="Arial" w:cs="Arial"/>
          <w:sz w:val="24"/>
          <w:szCs w:val="24"/>
        </w:rPr>
      </w:pPr>
      <w:r>
        <w:rPr>
          <w:rFonts w:ascii="Arial" w:hAnsi="Arial" w:cs="Arial"/>
          <w:sz w:val="24"/>
          <w:szCs w:val="24"/>
        </w:rPr>
        <w:t>8.3.7  6、7度时长度大于7.2m的大房间，及8度时外墙转角及内外墙交接处，应沿墙高每隔500mm配置2φ6的通长钢筋和φ4分布短筋平面内点焊组成的拉结网片或φ4点焊网片。</w:t>
      </w:r>
    </w:p>
    <w:p>
      <w:pPr>
        <w:spacing w:line="360" w:lineRule="auto"/>
        <w:rPr>
          <w:rFonts w:ascii="Arial" w:hAnsi="Arial" w:cs="Arial"/>
          <w:sz w:val="24"/>
          <w:szCs w:val="24"/>
        </w:rPr>
      </w:pPr>
      <w:r>
        <w:rPr>
          <w:rFonts w:ascii="Arial" w:hAnsi="Arial" w:cs="Arial"/>
          <w:sz w:val="24"/>
          <w:szCs w:val="24"/>
        </w:rPr>
        <w:t>8.3.10 门窗洞处不应采用砖过梁；过梁支承长度不应小于240mm。</w:t>
      </w:r>
    </w:p>
    <w:p>
      <w:pPr>
        <w:spacing w:line="360" w:lineRule="auto"/>
        <w:rPr>
          <w:rFonts w:ascii="Arial" w:hAnsi="Arial" w:cs="Arial"/>
          <w:sz w:val="24"/>
          <w:szCs w:val="24"/>
        </w:rPr>
      </w:pPr>
      <w:r>
        <w:rPr>
          <w:rFonts w:ascii="Arial" w:hAnsi="Arial" w:cs="Arial"/>
          <w:sz w:val="24"/>
          <w:szCs w:val="24"/>
        </w:rPr>
        <w:t>8.3.11 预制阳台，6、7度时应与圈梁和楼板的现浇板带可靠连接，8度时不应采用。</w:t>
      </w:r>
    </w:p>
    <w:p>
      <w:pPr>
        <w:spacing w:line="360" w:lineRule="auto"/>
        <w:rPr>
          <w:rFonts w:ascii="Arial" w:hAnsi="Arial" w:cs="Arial"/>
          <w:sz w:val="24"/>
          <w:szCs w:val="24"/>
        </w:rPr>
      </w:pPr>
      <w:r>
        <w:rPr>
          <w:rFonts w:ascii="Arial" w:hAnsi="Arial" w:cs="Arial"/>
          <w:sz w:val="24"/>
          <w:szCs w:val="24"/>
        </w:rPr>
        <w:t>8.3.14 丙类设防的多层砖砌体房屋，当横墙较少且总高度和层数接近或达到本章表8.1.2规定限值时，应采取下列加强措施：</w:t>
      </w:r>
    </w:p>
    <w:p>
      <w:pPr>
        <w:spacing w:line="360" w:lineRule="auto"/>
        <w:ind w:firstLine="480" w:firstLineChars="200"/>
        <w:rPr>
          <w:rFonts w:ascii="Arial" w:hAnsi="Arial" w:cs="Arial"/>
          <w:kern w:val="0"/>
          <w:sz w:val="24"/>
          <w:szCs w:val="24"/>
        </w:rPr>
      </w:pPr>
      <w:r>
        <w:rPr>
          <w:rFonts w:ascii="Arial" w:hAnsi="Arial" w:cs="Arial"/>
          <w:kern w:val="0"/>
          <w:sz w:val="24"/>
          <w:szCs w:val="24"/>
        </w:rPr>
        <w:t>1 房屋的最大开间尺寸不宜大于6.6m。</w:t>
      </w:r>
    </w:p>
    <w:p>
      <w:pPr>
        <w:spacing w:line="360" w:lineRule="auto"/>
        <w:ind w:firstLine="480" w:firstLineChars="200"/>
        <w:rPr>
          <w:rFonts w:ascii="Arial" w:hAnsi="Arial" w:cs="Arial"/>
          <w:kern w:val="0"/>
          <w:sz w:val="24"/>
          <w:szCs w:val="24"/>
        </w:rPr>
      </w:pPr>
      <w:r>
        <w:rPr>
          <w:rFonts w:ascii="Arial" w:hAnsi="Arial" w:cs="Arial"/>
          <w:kern w:val="0"/>
          <w:sz w:val="24"/>
          <w:szCs w:val="24"/>
        </w:rPr>
        <w:t>2 同一结构单元内横墙错位数量不宜超过横墙总数的1/3，且连续错位不宜多于两道；错位的墙体交接处均应增设构造柱，且楼、屋面板应采用现浇钢筋混凝土板。</w:t>
      </w:r>
    </w:p>
    <w:p>
      <w:pPr>
        <w:spacing w:line="360" w:lineRule="auto"/>
        <w:ind w:firstLine="480" w:firstLineChars="200"/>
        <w:rPr>
          <w:rFonts w:ascii="Arial" w:hAnsi="Arial" w:cs="Arial"/>
          <w:kern w:val="0"/>
          <w:sz w:val="24"/>
          <w:szCs w:val="24"/>
        </w:rPr>
      </w:pPr>
      <w:r>
        <w:rPr>
          <w:rFonts w:ascii="Arial" w:hAnsi="Arial" w:cs="Arial"/>
          <w:kern w:val="0"/>
          <w:sz w:val="24"/>
          <w:szCs w:val="24"/>
        </w:rPr>
        <w:t>3 横墙和内纵墙上洞口的宽度不宜大于1.5m；外纵墙上洞口的宽度不宜大于2.1m或开间尺寸的一半；且内外墙上洞口位置不应影响内外纵墙与横墙的整体连接。</w:t>
      </w:r>
    </w:p>
    <w:p>
      <w:pPr>
        <w:spacing w:line="360" w:lineRule="auto"/>
        <w:ind w:firstLine="480" w:firstLineChars="200"/>
        <w:rPr>
          <w:rFonts w:ascii="Arial" w:hAnsi="Arial" w:cs="Arial"/>
          <w:kern w:val="0"/>
          <w:sz w:val="24"/>
          <w:szCs w:val="24"/>
        </w:rPr>
      </w:pPr>
      <w:r>
        <w:rPr>
          <w:rFonts w:ascii="Arial" w:hAnsi="Arial" w:cs="Arial"/>
          <w:kern w:val="0"/>
          <w:sz w:val="24"/>
          <w:szCs w:val="24"/>
        </w:rPr>
        <w:t>4 所有纵横墙均应在楼、屋盖标高处设置加强的现浇钢筋混凝土圈梁：圈梁的截面高度不宜小于150mm，上下纵筋各不应少于3φ10，箍筋不小于φ6，间距不大于300mm。</w:t>
      </w:r>
    </w:p>
    <w:p>
      <w:pPr>
        <w:spacing w:line="360" w:lineRule="auto"/>
        <w:ind w:firstLine="480" w:firstLineChars="200"/>
        <w:rPr>
          <w:rFonts w:ascii="Arial" w:hAnsi="Arial" w:cs="Arial"/>
          <w:kern w:val="0"/>
          <w:sz w:val="24"/>
          <w:szCs w:val="24"/>
        </w:rPr>
      </w:pPr>
      <w:r>
        <w:rPr>
          <w:rFonts w:ascii="Arial" w:hAnsi="Arial" w:cs="Arial"/>
          <w:kern w:val="0"/>
          <w:sz w:val="24"/>
          <w:szCs w:val="24"/>
        </w:rPr>
        <w:t>5 所有纵横墙交接处及横墙的中部，均应增设满足下列要求的构造柱：在纵、横墙内的柱距不宜大于3.0m，最小截面尺寸不宜小于240mm×240mm （墙厚190mm时为240mm×190mm），配筋宜符合表8.3.14的要求。</w:t>
      </w:r>
    </w:p>
    <w:p>
      <w:pPr>
        <w:spacing w:line="360" w:lineRule="auto"/>
        <w:jc w:val="center"/>
        <w:rPr>
          <w:rFonts w:ascii="Arial" w:hAnsi="Arial" w:cs="Arial"/>
          <w:kern w:val="0"/>
          <w:sz w:val="24"/>
          <w:szCs w:val="24"/>
        </w:rPr>
      </w:pPr>
      <w:r>
        <w:rPr>
          <w:rFonts w:ascii="Arial" w:hAnsi="Arial" w:cs="Arial"/>
        </w:rPr>
        <w:drawing>
          <wp:inline distT="0" distB="0" distL="0" distR="0">
            <wp:extent cx="4607560" cy="1981200"/>
            <wp:effectExtent l="19050" t="0" r="2540" b="0"/>
            <wp:docPr id="45" name="图片 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59"/>
                    <pic:cNvPicPr>
                      <a:picLocks noChangeAspect="true" noChangeArrowheads="true"/>
                    </pic:cNvPicPr>
                  </pic:nvPicPr>
                  <pic:blipFill>
                    <a:blip r:embed="rId63"/>
                    <a:srcRect/>
                    <a:stretch>
                      <a:fillRect/>
                    </a:stretch>
                  </pic:blipFill>
                  <pic:spPr>
                    <a:xfrm>
                      <a:off x="0" y="0"/>
                      <a:ext cx="4607560" cy="1981200"/>
                    </a:xfrm>
                    <a:prstGeom prst="rect">
                      <a:avLst/>
                    </a:prstGeom>
                    <a:noFill/>
                    <a:ln w="9525">
                      <a:noFill/>
                      <a:miter lim="800000"/>
                      <a:headEnd/>
                      <a:tailEnd/>
                    </a:ln>
                  </pic:spPr>
                </pic:pic>
              </a:graphicData>
            </a:graphic>
          </wp:inline>
        </w:drawing>
      </w:r>
    </w:p>
    <w:p>
      <w:pPr>
        <w:spacing w:line="360" w:lineRule="auto"/>
        <w:ind w:firstLine="480" w:firstLineChars="200"/>
        <w:rPr>
          <w:rFonts w:ascii="Arial" w:hAnsi="Arial" w:cs="Arial"/>
          <w:kern w:val="0"/>
          <w:sz w:val="24"/>
          <w:szCs w:val="24"/>
        </w:rPr>
      </w:pPr>
      <w:r>
        <w:rPr>
          <w:rFonts w:ascii="Arial" w:hAnsi="Arial" w:cs="Arial"/>
          <w:kern w:val="0"/>
          <w:sz w:val="24"/>
          <w:szCs w:val="24"/>
        </w:rPr>
        <w:t>6 同一结构单元的楼、屋面板应设置在同一标高处。</w:t>
      </w:r>
    </w:p>
    <w:p>
      <w:pPr>
        <w:spacing w:line="360" w:lineRule="auto"/>
        <w:ind w:firstLine="480" w:firstLineChars="200"/>
        <w:rPr>
          <w:rFonts w:ascii="Arial" w:hAnsi="Arial" w:cs="Arial"/>
          <w:kern w:val="0"/>
          <w:sz w:val="24"/>
          <w:szCs w:val="24"/>
        </w:rPr>
      </w:pPr>
      <w:r>
        <w:rPr>
          <w:rFonts w:ascii="Arial" w:hAnsi="Arial" w:cs="Arial"/>
          <w:kern w:val="0"/>
          <w:sz w:val="24"/>
          <w:szCs w:val="24"/>
        </w:rPr>
        <w:t>7 房屋底层和顶层的窗台标高处，宜设置沿纵横墙通长的水平现浇钢筋混凝土带；其截面高度不小于60mm，宽度不小于墙厚，纵向钢筋不少于2φ10，横向分布筋的直径不小于φ6且其间距不大于200mm。</w:t>
      </w:r>
    </w:p>
    <w:p>
      <w:pPr>
        <w:spacing w:line="360" w:lineRule="auto"/>
        <w:rPr>
          <w:rFonts w:ascii="Arial" w:hAnsi="Arial" w:cs="Arial"/>
          <w:sz w:val="24"/>
          <w:szCs w:val="24"/>
        </w:rPr>
      </w:pPr>
      <w:r>
        <w:rPr>
          <w:rFonts w:ascii="Arial" w:hAnsi="Arial" w:cs="Arial"/>
          <w:sz w:val="24"/>
          <w:szCs w:val="24"/>
        </w:rPr>
        <w:t>8.4.</w:t>
      </w:r>
      <w:r>
        <w:rPr>
          <w:rFonts w:hint="eastAsia" w:ascii="Arial" w:hAnsi="Arial" w:cs="Arial"/>
          <w:sz w:val="24"/>
          <w:szCs w:val="24"/>
        </w:rPr>
        <w:t>1</w:t>
      </w:r>
      <w:r>
        <w:rPr>
          <w:rFonts w:ascii="Arial" w:hAnsi="Arial" w:cs="Arial"/>
          <w:sz w:val="24"/>
          <w:szCs w:val="24"/>
        </w:rPr>
        <w:t xml:space="preserve"> 多层小砌块房屋</w:t>
      </w:r>
      <w:r>
        <w:rPr>
          <w:rFonts w:hint="eastAsia" w:ascii="Arial" w:hAnsi="Arial" w:cs="Arial"/>
          <w:sz w:val="24"/>
          <w:szCs w:val="24"/>
        </w:rPr>
        <w:t>应按表8.4.1的要求设置钢筋混凝土芯柱。对外廊式和单面走廊式的多层房屋、横墙较少的房屋、各层横墙很少的房屋，尚应分别按本规程第8.3.1条第2、3、4款关于增加层数的对应要求，按表8.4.1的要求设置芯柱。</w:t>
      </w:r>
    </w:p>
    <w:p>
      <w:pPr>
        <w:spacing w:line="360" w:lineRule="auto"/>
        <w:jc w:val="center"/>
        <w:rPr>
          <w:rFonts w:ascii="Arial" w:hAnsi="Arial" w:cs="Arial"/>
          <w:sz w:val="24"/>
          <w:szCs w:val="24"/>
        </w:rPr>
      </w:pPr>
      <w:r>
        <w:drawing>
          <wp:inline distT="0" distB="0" distL="114300" distR="114300">
            <wp:extent cx="4738370" cy="5036185"/>
            <wp:effectExtent l="0" t="0" r="11430" b="5715"/>
            <wp:docPr id="6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5" name="图片 2"/>
                    <pic:cNvPicPr>
                      <a:picLocks noChangeAspect="true"/>
                    </pic:cNvPicPr>
                  </pic:nvPicPr>
                  <pic:blipFill>
                    <a:blip r:embed="rId64"/>
                    <a:stretch>
                      <a:fillRect/>
                    </a:stretch>
                  </pic:blipFill>
                  <pic:spPr>
                    <a:xfrm>
                      <a:off x="0" y="0"/>
                      <a:ext cx="4738370" cy="5036185"/>
                    </a:xfrm>
                    <a:prstGeom prst="rect">
                      <a:avLst/>
                    </a:prstGeom>
                    <a:noFill/>
                    <a:ln>
                      <a:noFill/>
                    </a:ln>
                  </pic:spPr>
                </pic:pic>
              </a:graphicData>
            </a:graphic>
          </wp:inline>
        </w:drawing>
      </w:r>
    </w:p>
    <w:p>
      <w:pPr>
        <w:spacing w:line="360" w:lineRule="auto"/>
        <w:rPr>
          <w:rFonts w:ascii="Arial" w:hAnsi="Arial" w:cs="Arial"/>
          <w:sz w:val="24"/>
          <w:szCs w:val="24"/>
        </w:rPr>
      </w:pPr>
      <w:r>
        <w:rPr>
          <w:rFonts w:ascii="Arial" w:hAnsi="Arial" w:cs="Arial"/>
          <w:sz w:val="24"/>
          <w:szCs w:val="24"/>
        </w:rPr>
        <w:t>8.4.2 多层小砌块砌体房屋的芯柱，应符合下列构造要求：</w:t>
      </w:r>
    </w:p>
    <w:p>
      <w:pPr>
        <w:spacing w:line="360" w:lineRule="auto"/>
        <w:ind w:firstLine="480" w:firstLineChars="200"/>
        <w:rPr>
          <w:rFonts w:ascii="Arial" w:hAnsi="Arial" w:cs="Arial"/>
          <w:kern w:val="0"/>
          <w:sz w:val="24"/>
          <w:szCs w:val="24"/>
        </w:rPr>
      </w:pPr>
      <w:r>
        <w:rPr>
          <w:rFonts w:ascii="Arial" w:hAnsi="Arial" w:cs="Arial"/>
          <w:kern w:val="0"/>
          <w:sz w:val="24"/>
          <w:szCs w:val="24"/>
        </w:rPr>
        <w:t>1 小砌块房屋芯柱截面不宜小于120mm</w:t>
      </w:r>
      <w:r>
        <w:rPr>
          <w:rFonts w:ascii="Arial" w:hAnsi="Arial" w:cs="Arial"/>
          <w:sz w:val="24"/>
          <w:szCs w:val="24"/>
        </w:rPr>
        <w:t>×</w:t>
      </w:r>
      <w:r>
        <w:rPr>
          <w:rFonts w:ascii="Arial" w:hAnsi="Arial" w:cs="Arial"/>
          <w:kern w:val="0"/>
          <w:sz w:val="24"/>
          <w:szCs w:val="24"/>
        </w:rPr>
        <w:t>120mm。</w:t>
      </w:r>
    </w:p>
    <w:p>
      <w:pPr>
        <w:spacing w:line="360" w:lineRule="auto"/>
        <w:ind w:firstLine="480" w:firstLineChars="200"/>
        <w:rPr>
          <w:rFonts w:ascii="Arial" w:hAnsi="Arial" w:cs="Arial"/>
          <w:kern w:val="0"/>
          <w:sz w:val="24"/>
          <w:szCs w:val="24"/>
        </w:rPr>
      </w:pPr>
      <w:r>
        <w:rPr>
          <w:rFonts w:ascii="Arial" w:hAnsi="Arial" w:cs="Arial"/>
          <w:kern w:val="0"/>
          <w:sz w:val="24"/>
          <w:szCs w:val="24"/>
        </w:rPr>
        <w:t>3 芯柱的竖向插筋应贯通墙身且与每层圈梁连接；插筋不应小于1φ12，6、7度时超过五层、8度时超过四层时，插筋不应小于1φ14。</w:t>
      </w:r>
    </w:p>
    <w:p>
      <w:pPr>
        <w:spacing w:line="360" w:lineRule="auto"/>
        <w:ind w:firstLine="480" w:firstLineChars="200"/>
        <w:rPr>
          <w:rFonts w:ascii="Arial" w:hAnsi="Arial" w:cs="Arial"/>
          <w:kern w:val="0"/>
          <w:sz w:val="24"/>
          <w:szCs w:val="24"/>
        </w:rPr>
      </w:pPr>
      <w:r>
        <w:rPr>
          <w:rFonts w:ascii="Arial" w:hAnsi="Arial" w:cs="Arial"/>
          <w:kern w:val="0"/>
          <w:sz w:val="24"/>
          <w:szCs w:val="24"/>
        </w:rPr>
        <w:t>4 芯柱应伸入室外地面下500mm或与埋深小于500mm的基础圈梁相连。</w:t>
      </w:r>
    </w:p>
    <w:p>
      <w:pPr>
        <w:spacing w:line="360" w:lineRule="auto"/>
        <w:ind w:firstLine="480" w:firstLineChars="200"/>
        <w:rPr>
          <w:rFonts w:ascii="Arial" w:hAnsi="Arial" w:cs="Arial"/>
          <w:kern w:val="0"/>
          <w:sz w:val="24"/>
          <w:szCs w:val="24"/>
        </w:rPr>
      </w:pPr>
      <w:r>
        <w:rPr>
          <w:rFonts w:ascii="Arial" w:hAnsi="Arial" w:cs="Arial"/>
          <w:kern w:val="0"/>
          <w:sz w:val="24"/>
          <w:szCs w:val="24"/>
        </w:rPr>
        <w:t>5 为提高墙体抗震受剪承载力而设置的芯柱，宜在墙体内均匀布置，最大净距不宜大于2.0m。</w:t>
      </w:r>
    </w:p>
    <w:p>
      <w:pPr>
        <w:spacing w:line="360" w:lineRule="auto"/>
        <w:ind w:firstLine="480" w:firstLineChars="200"/>
        <w:rPr>
          <w:rFonts w:ascii="Arial" w:hAnsi="Arial" w:cs="Arial"/>
          <w:kern w:val="0"/>
          <w:sz w:val="24"/>
          <w:szCs w:val="24"/>
        </w:rPr>
      </w:pPr>
      <w:r>
        <w:rPr>
          <w:rFonts w:ascii="Arial" w:hAnsi="Arial" w:cs="Arial"/>
          <w:kern w:val="0"/>
          <w:sz w:val="24"/>
          <w:szCs w:val="24"/>
        </w:rPr>
        <w:t>6 多层小砌块房屋墙体交接处或芯柱与墙体连接处应设置拉结钢筋网片，网片可采用直径4mm的钢筋点焊而成，沿墙高间距不大于600mm，并应沿墙体水平通长设置。6、7度时底部1/3楼层，8度时底部1/2楼层，上述拉结钢筋网片沿墙高间距不大于400mm。</w:t>
      </w:r>
    </w:p>
    <w:p>
      <w:pPr>
        <w:spacing w:line="360" w:lineRule="auto"/>
        <w:rPr>
          <w:rFonts w:ascii="Arial" w:hAnsi="Arial" w:cs="Arial"/>
          <w:sz w:val="24"/>
          <w:szCs w:val="24"/>
        </w:rPr>
      </w:pPr>
      <w:r>
        <w:rPr>
          <w:rFonts w:ascii="Arial" w:hAnsi="Arial" w:cs="Arial"/>
          <w:sz w:val="24"/>
          <w:szCs w:val="24"/>
        </w:rPr>
        <w:t>8.4.3 小砌块房屋中替代芯柱的钢筋混凝土构造柱，应符合下列构造要求：</w:t>
      </w:r>
    </w:p>
    <w:p>
      <w:pPr>
        <w:spacing w:line="360" w:lineRule="auto"/>
        <w:ind w:firstLine="480" w:firstLineChars="200"/>
        <w:rPr>
          <w:rFonts w:ascii="Arial" w:hAnsi="Arial" w:cs="Arial"/>
          <w:kern w:val="0"/>
          <w:sz w:val="24"/>
          <w:szCs w:val="24"/>
        </w:rPr>
      </w:pPr>
      <w:r>
        <w:rPr>
          <w:rFonts w:ascii="Arial" w:hAnsi="Arial" w:cs="Arial"/>
          <w:kern w:val="0"/>
          <w:sz w:val="24"/>
          <w:szCs w:val="24"/>
        </w:rPr>
        <w:t>1 构造柱截面可采用190mm</w:t>
      </w:r>
      <w:r>
        <w:rPr>
          <w:rFonts w:ascii="Arial" w:hAnsi="Arial" w:cs="Arial"/>
          <w:sz w:val="24"/>
          <w:szCs w:val="24"/>
        </w:rPr>
        <w:t>×</w:t>
      </w:r>
      <w:r>
        <w:rPr>
          <w:rFonts w:ascii="Arial" w:hAnsi="Arial" w:cs="Arial"/>
          <w:kern w:val="0"/>
          <w:sz w:val="24"/>
          <w:szCs w:val="24"/>
        </w:rPr>
        <w:t>190mm，纵向钢筋宜采用4φ12，箍筋间距不宜大于250mm，且在柱上下端宜适当加密；6、7度时超过五层、8度时超过四层，构造柱纵向钢筋宜采用4φ14，箍筋间距不应大于200mm；外墙四角的构造柱可适当加大截面及配筋。</w:t>
      </w:r>
    </w:p>
    <w:p>
      <w:pPr>
        <w:spacing w:line="360" w:lineRule="auto"/>
        <w:ind w:firstLine="480" w:firstLineChars="200"/>
        <w:rPr>
          <w:rFonts w:ascii="Arial" w:hAnsi="Arial" w:cs="Arial"/>
          <w:kern w:val="0"/>
          <w:sz w:val="24"/>
          <w:szCs w:val="24"/>
        </w:rPr>
      </w:pPr>
      <w:r>
        <w:rPr>
          <w:rFonts w:ascii="Arial" w:hAnsi="Arial" w:cs="Arial"/>
          <w:kern w:val="0"/>
          <w:sz w:val="24"/>
          <w:szCs w:val="24"/>
        </w:rPr>
        <w:t>2 构造柱与砌块墙连接处应砌成马牙槎，与构造柱相邻的砌块孔洞，6度时宜填实，7度时应填实，8度时应填实并插筋。构造柱与砌块墙之间沿墙高每隔600mm设置φ4点焊拉结钢筋网片，并应沿墙体水平通长设置。6、7度时底部1/3楼层，8度时底部1/2楼层，上述拉结钢筋网片沿墙高间距不大于400mm。</w:t>
      </w:r>
    </w:p>
    <w:p>
      <w:pPr>
        <w:spacing w:line="360" w:lineRule="auto"/>
        <w:ind w:firstLine="480" w:firstLineChars="200"/>
        <w:rPr>
          <w:rFonts w:ascii="Arial" w:hAnsi="Arial" w:cs="Arial"/>
          <w:kern w:val="0"/>
          <w:sz w:val="24"/>
          <w:szCs w:val="24"/>
        </w:rPr>
      </w:pPr>
      <w:r>
        <w:rPr>
          <w:rFonts w:ascii="Arial" w:hAnsi="Arial" w:cs="Arial"/>
          <w:kern w:val="0"/>
          <w:sz w:val="24"/>
          <w:szCs w:val="24"/>
        </w:rPr>
        <w:t>3 构造柱与圈梁连接处，构造柱的纵筋应在圈梁纵筋内侧穿过，保证构造柱纵筋上下贯通。</w:t>
      </w:r>
    </w:p>
    <w:p>
      <w:pPr>
        <w:spacing w:line="360" w:lineRule="auto"/>
        <w:ind w:firstLine="480" w:firstLineChars="200"/>
        <w:rPr>
          <w:rFonts w:ascii="Arial" w:hAnsi="Arial" w:cs="Arial"/>
          <w:kern w:val="0"/>
          <w:sz w:val="24"/>
          <w:szCs w:val="24"/>
        </w:rPr>
      </w:pPr>
      <w:r>
        <w:rPr>
          <w:rFonts w:ascii="Arial" w:hAnsi="Arial" w:cs="Arial"/>
          <w:kern w:val="0"/>
          <w:sz w:val="24"/>
          <w:szCs w:val="24"/>
        </w:rPr>
        <w:t>4 构造柱可不单独设置基础，但应伸入室外地面下500mm，或与埋深小于500mm的基础圈梁相连。</w:t>
      </w:r>
    </w:p>
    <w:p>
      <w:pPr>
        <w:spacing w:line="360" w:lineRule="auto"/>
        <w:rPr>
          <w:rFonts w:ascii="Arial" w:hAnsi="Arial" w:cs="Arial"/>
          <w:sz w:val="24"/>
          <w:szCs w:val="24"/>
        </w:rPr>
      </w:pPr>
      <w:r>
        <w:rPr>
          <w:rFonts w:ascii="Arial" w:hAnsi="Arial" w:cs="Arial"/>
          <w:sz w:val="24"/>
          <w:szCs w:val="24"/>
        </w:rPr>
        <w:t>8.4.5 多层小砌块砌体房屋的层数，6度超过五层、7度超过四层、8度超过三层时，在底层和顶层的窗台标高处，沿纵横墙应设置通长的水平现浇钢筋混凝土带；其截面高度不小于60mm，纵筋不少于2φ10，并应有分布拉结钢筋；其混凝土强度等级不应低于C20。</w:t>
      </w:r>
    </w:p>
    <w:p>
      <w:pPr>
        <w:spacing w:line="360" w:lineRule="auto"/>
        <w:rPr>
          <w:rFonts w:ascii="Arial" w:hAnsi="Arial" w:cs="Arial"/>
          <w:sz w:val="24"/>
          <w:szCs w:val="24"/>
        </w:rPr>
      </w:pPr>
      <w:r>
        <w:rPr>
          <w:rFonts w:ascii="Arial" w:hAnsi="Arial" w:cs="Arial"/>
          <w:sz w:val="24"/>
          <w:szCs w:val="24"/>
        </w:rPr>
        <w:t>8.4.6 丙类设防的多层小砌块砌体房屋，当总高度和层数接近或达到本章表8.1.2规定限值时，应符合本章第8.3.2条第5款的相关要求，其中墙体中部的构造柱可采用不少于2孔的灌孔芯柱替代；横墙也较少时，还应符合本章第8.3.14条的相关要求，其中墙体中部的构造柱可采用间距不大于2m、灌孔数量不少于2孔的芯柱替代，且每孔插筋的直径不应小于18mm。</w:t>
      </w:r>
    </w:p>
    <w:p>
      <w:pPr>
        <w:spacing w:line="360" w:lineRule="auto"/>
        <w:rPr>
          <w:rFonts w:ascii="Arial" w:hAnsi="Arial" w:cs="Arial"/>
          <w:sz w:val="24"/>
          <w:szCs w:val="24"/>
        </w:rPr>
      </w:pPr>
      <w:r>
        <w:rPr>
          <w:rFonts w:ascii="Arial" w:hAnsi="Arial" w:cs="Arial"/>
          <w:sz w:val="24"/>
          <w:szCs w:val="24"/>
        </w:rPr>
        <w:t>8.4.7 多层小砌块砌体房屋的其他抗震构造措施，尚应符合本章第8.3.5条至第8.3.13条有关要求。其中，墙体的拉结钢筋网片间距应符合本节的相应规定，分别取600mm和400mm。</w:t>
      </w:r>
    </w:p>
    <w:p>
      <w:pPr>
        <w:spacing w:line="360" w:lineRule="auto"/>
        <w:rPr>
          <w:rFonts w:ascii="Arial" w:hAnsi="Arial" w:cs="Arial"/>
          <w:sz w:val="24"/>
          <w:szCs w:val="24"/>
        </w:rPr>
      </w:pPr>
      <w:r>
        <w:rPr>
          <w:rFonts w:ascii="Arial" w:hAnsi="Arial" w:cs="Arial"/>
          <w:sz w:val="24"/>
          <w:szCs w:val="24"/>
        </w:rPr>
        <w:t>8.7.2 多层错层砖砌体房屋的计算应符合下列要求：</w:t>
      </w:r>
    </w:p>
    <w:p>
      <w:pPr>
        <w:spacing w:line="360" w:lineRule="auto"/>
        <w:ind w:firstLine="480" w:firstLineChars="200"/>
        <w:rPr>
          <w:rFonts w:ascii="Arial" w:hAnsi="Arial" w:cs="Arial"/>
          <w:kern w:val="0"/>
          <w:sz w:val="24"/>
          <w:szCs w:val="24"/>
        </w:rPr>
      </w:pPr>
      <w:r>
        <w:rPr>
          <w:rFonts w:ascii="Arial" w:hAnsi="Arial" w:cs="Arial"/>
          <w:kern w:val="0"/>
          <w:sz w:val="24"/>
          <w:szCs w:val="24"/>
        </w:rPr>
        <w:t>1 错层房屋可根据高、低层楼面面积比确定一个等效不错层的规整计算模型，如图8.7.2-1、图8.7.2-2、图8.7.2-3。</w:t>
      </w:r>
    </w:p>
    <w:p>
      <w:pPr>
        <w:spacing w:line="360" w:lineRule="auto"/>
        <w:ind w:firstLine="480" w:firstLineChars="200"/>
        <w:rPr>
          <w:rFonts w:ascii="Arial" w:hAnsi="Arial" w:cs="Arial"/>
          <w:kern w:val="0"/>
          <w:sz w:val="24"/>
          <w:szCs w:val="24"/>
        </w:rPr>
      </w:pPr>
      <w:r>
        <w:rPr>
          <w:rFonts w:ascii="Arial" w:hAnsi="Arial" w:cs="Arial"/>
          <w:kern w:val="0"/>
          <w:sz w:val="24"/>
          <w:szCs w:val="24"/>
        </w:rPr>
        <w:t>2 当存在底层架空楼板时，架空板应作为一个层面建立模型。</w:t>
      </w:r>
    </w:p>
    <w:p>
      <w:pPr>
        <w:spacing w:line="360" w:lineRule="auto"/>
        <w:ind w:firstLine="480" w:firstLineChars="200"/>
        <w:rPr>
          <w:rFonts w:ascii="Arial" w:hAnsi="Arial" w:cs="Arial"/>
          <w:kern w:val="0"/>
          <w:sz w:val="24"/>
          <w:szCs w:val="24"/>
        </w:rPr>
      </w:pPr>
      <w:r>
        <w:rPr>
          <w:rFonts w:ascii="Arial" w:hAnsi="Arial" w:cs="Arial"/>
          <w:kern w:val="0"/>
          <w:sz w:val="24"/>
          <w:szCs w:val="24"/>
        </w:rPr>
        <w:t>3 顶层如设有坡屋面时，其层高按屋面结构实际情况确定。</w:t>
      </w:r>
    </w:p>
    <w:p>
      <w:pPr>
        <w:spacing w:line="360" w:lineRule="auto"/>
        <w:ind w:firstLine="480" w:firstLineChars="200"/>
        <w:rPr>
          <w:rFonts w:ascii="Arial" w:hAnsi="Arial" w:cs="Arial"/>
          <w:kern w:val="0"/>
          <w:sz w:val="24"/>
          <w:szCs w:val="24"/>
        </w:rPr>
      </w:pPr>
      <w:r>
        <w:rPr>
          <w:rFonts w:ascii="Arial" w:hAnsi="Arial" w:cs="Arial"/>
          <w:kern w:val="0"/>
          <w:sz w:val="24"/>
          <w:szCs w:val="24"/>
        </w:rPr>
        <w:t>4 等效规整模型的地震作用可采用底部剪力法计算，得到的全部层间墙肢剪力应按错层高度h乘以下列增大系数β：</w:t>
      </w:r>
    </w:p>
    <w:p>
      <w:pPr>
        <w:spacing w:line="360" w:lineRule="auto"/>
        <w:jc w:val="center"/>
        <w:rPr>
          <w:rFonts w:ascii="Arial" w:hAnsi="Arial" w:cs="Arial"/>
          <w:kern w:val="0"/>
          <w:sz w:val="24"/>
          <w:szCs w:val="24"/>
        </w:rPr>
      </w:pPr>
      <w:r>
        <w:rPr>
          <w:rFonts w:ascii="Arial" w:hAnsi="Arial" w:cs="Arial"/>
          <w:kern w:val="0"/>
          <w:sz w:val="24"/>
          <w:szCs w:val="24"/>
        </w:rPr>
        <w:t>h≤0.6m                     β＝1.1</w:t>
      </w:r>
    </w:p>
    <w:p>
      <w:pPr>
        <w:spacing w:line="360" w:lineRule="auto"/>
        <w:jc w:val="center"/>
        <w:rPr>
          <w:rFonts w:ascii="Arial" w:hAnsi="Arial" w:cs="Arial"/>
          <w:kern w:val="0"/>
          <w:sz w:val="24"/>
          <w:szCs w:val="24"/>
        </w:rPr>
      </w:pPr>
      <w:r>
        <w:rPr>
          <w:rFonts w:ascii="Arial" w:hAnsi="Arial" w:cs="Arial"/>
          <w:kern w:val="0"/>
          <w:sz w:val="24"/>
          <w:szCs w:val="24"/>
        </w:rPr>
        <w:t>0.6m＜h≤0.9m               β＝1.2</w:t>
      </w:r>
    </w:p>
    <w:p>
      <w:pPr>
        <w:spacing w:line="360" w:lineRule="auto"/>
        <w:jc w:val="center"/>
        <w:rPr>
          <w:rFonts w:ascii="Arial" w:hAnsi="Arial" w:cs="Arial"/>
          <w:kern w:val="0"/>
          <w:sz w:val="24"/>
          <w:szCs w:val="24"/>
        </w:rPr>
      </w:pPr>
      <w:r>
        <w:rPr>
          <w:rFonts w:ascii="Arial" w:hAnsi="Arial" w:cs="Arial"/>
          <w:kern w:val="0"/>
          <w:sz w:val="24"/>
          <w:szCs w:val="24"/>
        </w:rPr>
        <w:t>0.9m＜h≤1.2m               β＝1.3</w:t>
      </w:r>
    </w:p>
    <w:p>
      <w:pPr>
        <w:spacing w:line="360" w:lineRule="auto"/>
        <w:jc w:val="center"/>
        <w:rPr>
          <w:rFonts w:ascii="Arial" w:hAnsi="Arial" w:cs="Arial"/>
          <w:kern w:val="0"/>
          <w:sz w:val="24"/>
          <w:szCs w:val="24"/>
        </w:rPr>
      </w:pPr>
      <w:r>
        <w:rPr>
          <w:rFonts w:ascii="Arial" w:hAnsi="Arial" w:cs="Arial"/>
          <w:kern w:val="0"/>
          <w:sz w:val="24"/>
          <w:szCs w:val="24"/>
        </w:rPr>
        <w:t>h＞1.2m                     β＝1.4</w:t>
      </w:r>
    </w:p>
    <w:p>
      <w:pPr>
        <w:spacing w:line="360" w:lineRule="auto"/>
        <w:ind w:firstLine="480" w:firstLineChars="200"/>
        <w:rPr>
          <w:rFonts w:ascii="Arial" w:hAnsi="Arial" w:cs="Arial"/>
          <w:kern w:val="0"/>
          <w:sz w:val="24"/>
          <w:szCs w:val="24"/>
        </w:rPr>
      </w:pPr>
      <w:r>
        <w:rPr>
          <w:rFonts w:ascii="Arial" w:hAnsi="Arial" w:cs="Arial"/>
          <w:kern w:val="0"/>
          <w:sz w:val="24"/>
          <w:szCs w:val="24"/>
        </w:rPr>
        <w:t>5 错层房屋的墙肢除应满足轴压或偏压强度外，并应选择最不利危险截面按上述增大后的地震剪力进行抗震承载力验算，满足抗震强度要求。</w:t>
      </w:r>
    </w:p>
    <w:p>
      <w:pPr>
        <w:spacing w:line="360" w:lineRule="auto"/>
        <w:ind w:firstLine="480" w:firstLineChars="200"/>
        <w:rPr>
          <w:rFonts w:ascii="Arial" w:hAnsi="Arial" w:cs="Arial"/>
          <w:kern w:val="0"/>
          <w:sz w:val="24"/>
          <w:szCs w:val="24"/>
        </w:rPr>
      </w:pPr>
      <w:r>
        <w:rPr>
          <w:rFonts w:ascii="Arial" w:hAnsi="Arial" w:cs="Arial"/>
          <w:kern w:val="0"/>
          <w:sz w:val="24"/>
          <w:szCs w:val="24"/>
        </w:rPr>
        <w:t>6 对于多级错层的情况，其错层高度h按每级错层高度确定，计算模型可按本节的有关规定采用。</w:t>
      </w:r>
    </w:p>
    <w:p>
      <w:pPr>
        <w:spacing w:line="360" w:lineRule="auto"/>
        <w:rPr>
          <w:rFonts w:ascii="Arial" w:hAnsi="Arial" w:cs="Arial"/>
          <w:kern w:val="0"/>
          <w:sz w:val="24"/>
          <w:szCs w:val="24"/>
        </w:rPr>
      </w:pPr>
      <w:r>
        <w:rPr>
          <w:rFonts w:hint="eastAsia" w:ascii="Arial" w:hAnsi="Arial" w:cs="Arial"/>
          <w:kern w:val="0"/>
          <w:sz w:val="24"/>
          <w:szCs w:val="24"/>
        </w:rPr>
        <w:t>8.7.3 多层错层砖砌体房屋的构造措施应符合下列要求：</w:t>
      </w:r>
    </w:p>
    <w:p>
      <w:pPr>
        <w:spacing w:line="360" w:lineRule="auto"/>
        <w:ind w:firstLine="480" w:firstLineChars="200"/>
        <w:rPr>
          <w:rFonts w:ascii="Arial" w:hAnsi="Arial" w:cs="Arial"/>
          <w:kern w:val="0"/>
          <w:sz w:val="24"/>
          <w:szCs w:val="24"/>
        </w:rPr>
      </w:pPr>
      <w:r>
        <w:rPr>
          <w:rFonts w:hint="eastAsia" w:ascii="Arial" w:hAnsi="Arial" w:cs="Arial"/>
          <w:kern w:val="0"/>
          <w:sz w:val="24"/>
          <w:szCs w:val="24"/>
        </w:rPr>
        <w:t>1 砌体：砌体的砖强度等级不应低于MU10，砌筑砂浆强度等级不应低于M7.5。</w:t>
      </w:r>
    </w:p>
    <w:p>
      <w:pPr>
        <w:spacing w:line="360" w:lineRule="auto"/>
        <w:ind w:firstLine="480" w:firstLineChars="200"/>
        <w:rPr>
          <w:rFonts w:ascii="Arial" w:hAnsi="Arial" w:cs="Arial"/>
          <w:kern w:val="0"/>
          <w:sz w:val="24"/>
          <w:szCs w:val="24"/>
        </w:rPr>
      </w:pPr>
      <w:r>
        <w:rPr>
          <w:rFonts w:hint="eastAsia" w:ascii="Arial" w:hAnsi="Arial" w:cs="Arial"/>
          <w:kern w:val="0"/>
          <w:sz w:val="24"/>
          <w:szCs w:val="24"/>
        </w:rPr>
        <w:t>2 楼板：楼板应现浇，板厚不应小于120mm。</w:t>
      </w:r>
    </w:p>
    <w:p>
      <w:pPr>
        <w:spacing w:line="360" w:lineRule="auto"/>
        <w:ind w:firstLine="480" w:firstLineChars="200"/>
        <w:rPr>
          <w:rFonts w:ascii="Arial" w:hAnsi="Arial" w:cs="Arial"/>
          <w:kern w:val="0"/>
          <w:sz w:val="24"/>
          <w:szCs w:val="24"/>
        </w:rPr>
      </w:pPr>
      <w:r>
        <w:rPr>
          <w:rFonts w:hint="eastAsia" w:ascii="Arial" w:hAnsi="Arial" w:cs="Arial"/>
          <w:kern w:val="0"/>
          <w:sz w:val="24"/>
          <w:szCs w:val="24"/>
        </w:rPr>
        <w:t>3 圈梁：每层的高、低楼面各自均应设置封闭圈梁，且相邻高、低楼面的圈梁在与错层部位垂直的墙上应有不小于1000mm长的搭接。当错层高度不大于600mm时，错层部位墙上的高、低圈梁应连成整体。</w:t>
      </w:r>
    </w:p>
    <w:p>
      <w:pPr>
        <w:spacing w:line="360" w:lineRule="auto"/>
        <w:ind w:firstLine="480" w:firstLineChars="200"/>
        <w:rPr>
          <w:rFonts w:ascii="Arial" w:hAnsi="Arial" w:cs="Arial"/>
          <w:kern w:val="0"/>
          <w:sz w:val="24"/>
          <w:szCs w:val="24"/>
        </w:rPr>
      </w:pPr>
      <w:r>
        <w:rPr>
          <w:rFonts w:hint="eastAsia" w:ascii="Arial" w:hAnsi="Arial" w:cs="Arial"/>
          <w:kern w:val="0"/>
          <w:sz w:val="24"/>
          <w:szCs w:val="24"/>
        </w:rPr>
        <w:t>4 构造柱：</w:t>
      </w:r>
    </w:p>
    <w:p>
      <w:pPr>
        <w:pStyle w:val="78"/>
        <w:numPr>
          <w:ilvl w:val="0"/>
          <w:numId w:val="20"/>
        </w:numPr>
        <w:spacing w:line="360" w:lineRule="auto"/>
        <w:ind w:left="885" w:leftChars="250" w:hanging="360" w:hangingChars="150"/>
        <w:rPr>
          <w:rFonts w:ascii="Arial" w:hAnsi="Arial" w:cs="Arial"/>
          <w:kern w:val="0"/>
          <w:sz w:val="24"/>
          <w:szCs w:val="24"/>
        </w:rPr>
      </w:pPr>
      <w:r>
        <w:rPr>
          <w:rFonts w:hint="eastAsia" w:ascii="Arial" w:hAnsi="Arial" w:cs="Arial"/>
          <w:kern w:val="0"/>
          <w:sz w:val="24"/>
          <w:szCs w:val="24"/>
        </w:rPr>
        <w:t>房屋的纵、横墙交接处均应设置构造柱；</w:t>
      </w:r>
    </w:p>
    <w:p>
      <w:pPr>
        <w:pStyle w:val="78"/>
        <w:numPr>
          <w:ilvl w:val="0"/>
          <w:numId w:val="20"/>
        </w:numPr>
        <w:spacing w:line="360" w:lineRule="auto"/>
        <w:ind w:left="885" w:leftChars="250" w:hanging="360" w:hangingChars="150"/>
        <w:rPr>
          <w:rFonts w:ascii="Arial" w:hAnsi="Arial" w:cs="Arial"/>
          <w:kern w:val="0"/>
          <w:sz w:val="24"/>
          <w:szCs w:val="24"/>
        </w:rPr>
      </w:pPr>
      <w:r>
        <w:rPr>
          <w:rFonts w:hint="eastAsia" w:ascii="Arial" w:hAnsi="Arial" w:cs="Arial"/>
          <w:kern w:val="0"/>
          <w:sz w:val="24"/>
          <w:szCs w:val="24"/>
        </w:rPr>
        <w:t>错层墙体平面轴线有偏移时，在轴线转折处应增设构造柱；</w:t>
      </w:r>
    </w:p>
    <w:p>
      <w:pPr>
        <w:pStyle w:val="78"/>
        <w:numPr>
          <w:ilvl w:val="0"/>
          <w:numId w:val="20"/>
        </w:numPr>
        <w:spacing w:line="360" w:lineRule="auto"/>
        <w:ind w:left="885" w:leftChars="250" w:hanging="360" w:hangingChars="150"/>
        <w:rPr>
          <w:rFonts w:ascii="Arial" w:hAnsi="Arial" w:cs="Arial"/>
          <w:kern w:val="0"/>
          <w:sz w:val="24"/>
          <w:szCs w:val="24"/>
        </w:rPr>
      </w:pPr>
      <w:r>
        <w:rPr>
          <w:rFonts w:hint="eastAsia" w:ascii="Arial" w:hAnsi="Arial" w:cs="Arial"/>
          <w:kern w:val="0"/>
          <w:sz w:val="24"/>
          <w:szCs w:val="24"/>
        </w:rPr>
        <w:t>错层部位相邻开间纵墙的门、窗洞口两侧应设构造柱；错层部位横墙的门、窗洞口两侧也应设构造柱，且构造柱间距不应大于3m；</w:t>
      </w:r>
    </w:p>
    <w:p>
      <w:pPr>
        <w:pStyle w:val="78"/>
        <w:numPr>
          <w:ilvl w:val="0"/>
          <w:numId w:val="20"/>
        </w:numPr>
        <w:spacing w:line="360" w:lineRule="auto"/>
        <w:ind w:left="885" w:leftChars="250" w:hanging="360" w:hangingChars="150"/>
        <w:rPr>
          <w:rFonts w:ascii="Arial" w:hAnsi="Arial" w:cs="Arial"/>
          <w:kern w:val="0"/>
          <w:sz w:val="24"/>
          <w:szCs w:val="24"/>
        </w:rPr>
      </w:pPr>
      <w:r>
        <w:rPr>
          <w:rFonts w:hint="eastAsia" w:ascii="Arial" w:hAnsi="Arial" w:cs="Arial"/>
          <w:kern w:val="0"/>
          <w:sz w:val="24"/>
          <w:szCs w:val="24"/>
        </w:rPr>
        <w:t>当利用主楼梯错层时，楼梯间的构造柱截面尺寸不应小于240mm×240mm（墙厚为190mm时不应小于240mm×190mm），纵筋不应小于4φ18，箍筋沿柱全高加密，直径不应小于φ8，间距不应大于100mm；</w:t>
      </w:r>
    </w:p>
    <w:p>
      <w:pPr>
        <w:pStyle w:val="78"/>
        <w:numPr>
          <w:ilvl w:val="0"/>
          <w:numId w:val="20"/>
        </w:numPr>
        <w:spacing w:line="360" w:lineRule="auto"/>
        <w:ind w:left="885" w:leftChars="250" w:hanging="360" w:hangingChars="150"/>
        <w:rPr>
          <w:rFonts w:ascii="Arial" w:hAnsi="Arial" w:cs="Arial"/>
          <w:kern w:val="0"/>
          <w:sz w:val="24"/>
          <w:szCs w:val="24"/>
        </w:rPr>
      </w:pPr>
      <w:r>
        <w:rPr>
          <w:rFonts w:hint="eastAsia" w:ascii="Arial" w:hAnsi="Arial" w:cs="Arial"/>
          <w:kern w:val="0"/>
          <w:sz w:val="24"/>
          <w:szCs w:val="24"/>
        </w:rPr>
        <w:t>门洞构造柱及过梁（圈梁）的纵筋不应少于4φ16，沿全高或全长箍筋应加密，箍筋直径不应小于φ8，间距不应大于100mm。</w:t>
      </w:r>
    </w:p>
    <w:p>
      <w:pPr>
        <w:spacing w:line="360" w:lineRule="auto"/>
        <w:ind w:firstLine="480" w:firstLineChars="200"/>
        <w:rPr>
          <w:rFonts w:ascii="Arial" w:hAnsi="Arial" w:cs="Arial"/>
          <w:kern w:val="0"/>
          <w:sz w:val="24"/>
          <w:szCs w:val="24"/>
        </w:rPr>
      </w:pPr>
      <w:r>
        <w:rPr>
          <w:rFonts w:hint="eastAsia" w:ascii="Arial" w:hAnsi="Arial" w:cs="Arial"/>
          <w:kern w:val="0"/>
          <w:sz w:val="24"/>
          <w:szCs w:val="24"/>
        </w:rPr>
        <w:t>5 楼梯：当错层楼梯导致楼板开洞时，梯段两侧应采用厚度不小于120mm的现浇钢筋混凝土墙把楼梯和高、低楼板连为一体。</w:t>
      </w:r>
    </w:p>
    <w:p>
      <w:pPr>
        <w:spacing w:line="360" w:lineRule="auto"/>
        <w:rPr>
          <w:rFonts w:ascii="Arial" w:hAnsi="Arial" w:cs="Arial"/>
          <w:sz w:val="24"/>
          <w:szCs w:val="24"/>
        </w:rPr>
      </w:pPr>
      <w:r>
        <w:rPr>
          <w:rFonts w:ascii="Arial" w:hAnsi="Arial" w:cs="Arial"/>
          <w:sz w:val="24"/>
          <w:szCs w:val="24"/>
        </w:rPr>
        <w:t>9.1.1 本节适用于层数不超过10层或高度不超过24m的钢结构民用房屋及单跨、多跨的多层钢结构厂房，包括局部单层的多层厂房。</w:t>
      </w:r>
    </w:p>
    <w:p>
      <w:pPr>
        <w:spacing w:line="360" w:lineRule="auto"/>
        <w:rPr>
          <w:rFonts w:ascii="Arial" w:hAnsi="Arial" w:cs="Arial"/>
          <w:sz w:val="24"/>
          <w:szCs w:val="24"/>
        </w:rPr>
      </w:pPr>
      <w:r>
        <w:rPr>
          <w:rFonts w:ascii="Arial" w:hAnsi="Arial" w:cs="Arial"/>
          <w:sz w:val="24"/>
          <w:szCs w:val="24"/>
        </w:rPr>
        <w:t>9.1.2 多层钢结构的布置应符合本规程3.4节的有关要求，并应符合下列规定：</w:t>
      </w:r>
    </w:p>
    <w:p>
      <w:pPr>
        <w:spacing w:line="360" w:lineRule="auto"/>
        <w:ind w:firstLine="480" w:firstLineChars="200"/>
        <w:rPr>
          <w:rFonts w:ascii="Arial" w:hAnsi="Arial" w:cs="Arial"/>
          <w:kern w:val="0"/>
          <w:sz w:val="24"/>
          <w:szCs w:val="24"/>
        </w:rPr>
      </w:pPr>
      <w:r>
        <w:rPr>
          <w:rFonts w:ascii="Arial" w:hAnsi="Arial" w:cs="Arial"/>
          <w:kern w:val="0"/>
          <w:sz w:val="24"/>
          <w:szCs w:val="24"/>
        </w:rPr>
        <w:t>1 多层钢结构房屋可采用框架结构、框架-支撑结构或其他结构类型，当设置地下室时，钢结构宜延伸至地下室。</w:t>
      </w:r>
    </w:p>
    <w:p>
      <w:pPr>
        <w:spacing w:line="360" w:lineRule="auto"/>
        <w:ind w:firstLine="480" w:firstLineChars="200"/>
        <w:rPr>
          <w:rFonts w:ascii="Arial" w:hAnsi="Arial" w:cs="Arial"/>
          <w:kern w:val="0"/>
          <w:sz w:val="24"/>
          <w:szCs w:val="24"/>
        </w:rPr>
      </w:pPr>
      <w:r>
        <w:rPr>
          <w:rFonts w:ascii="Arial" w:hAnsi="Arial" w:cs="Arial"/>
          <w:kern w:val="0"/>
          <w:sz w:val="24"/>
          <w:szCs w:val="24"/>
        </w:rPr>
        <w:t>2 框架-支撑结构宜采用中心支撑，有条件时也可采用偏心支撑等消能支撑。中心支撑的布置形式可采用交叉支撑、人字支撑或单斜杆支撑；中心支撑的类型可采用屈曲约束支撑或普通支撑。厂房的支撑宜布置在荷载较大的柱间；且在同一柱间上下贯通。</w:t>
      </w:r>
    </w:p>
    <w:p>
      <w:pPr>
        <w:spacing w:line="360" w:lineRule="auto"/>
        <w:ind w:firstLine="480" w:firstLineChars="200"/>
        <w:rPr>
          <w:rFonts w:ascii="Arial" w:hAnsi="Arial" w:cs="Arial"/>
          <w:kern w:val="0"/>
          <w:sz w:val="24"/>
          <w:szCs w:val="24"/>
        </w:rPr>
      </w:pPr>
      <w:r>
        <w:rPr>
          <w:rFonts w:ascii="Arial" w:hAnsi="Arial" w:cs="Arial"/>
          <w:kern w:val="0"/>
          <w:sz w:val="24"/>
          <w:szCs w:val="24"/>
        </w:rPr>
        <w:t>3 结构平面形状复杂、各部分框架高度差异大或楼层荷载相差悬殊时，应设防震缝或采取其他措施，将结构分割成独立的相对规则的若干部分。防震缝的最小宽度应符合下列要求：</w:t>
      </w:r>
    </w:p>
    <w:p>
      <w:pPr>
        <w:pStyle w:val="78"/>
        <w:numPr>
          <w:ilvl w:val="0"/>
          <w:numId w:val="21"/>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框架结构房屋的防震缝宽度，当高度不超过15m时可采用150mm；超过15m时，6度、7度和8度相应每增加高度5m、4m和3mm，宜加宽30mm；</w:t>
      </w:r>
    </w:p>
    <w:p>
      <w:pPr>
        <w:pStyle w:val="78"/>
        <w:numPr>
          <w:ilvl w:val="0"/>
          <w:numId w:val="21"/>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框架-支撑结构房屋的防震缝宽度，可采用1）项规定数值的70%。</w:t>
      </w:r>
    </w:p>
    <w:p>
      <w:pPr>
        <w:spacing w:line="360" w:lineRule="auto"/>
        <w:rPr>
          <w:rFonts w:ascii="Arial" w:hAnsi="Arial" w:cs="Arial"/>
          <w:sz w:val="24"/>
          <w:szCs w:val="24"/>
        </w:rPr>
      </w:pPr>
      <w:r>
        <w:rPr>
          <w:rFonts w:ascii="Arial" w:hAnsi="Arial" w:cs="Arial"/>
          <w:sz w:val="24"/>
          <w:szCs w:val="24"/>
        </w:rPr>
        <w:t>9.1.8 多层钢结构在多遇地震下的弹性分析，阻尼比可采用0.04；在罕遇地震下的弹塑性分析，阻尼比可采用0.05。</w:t>
      </w:r>
    </w:p>
    <w:p>
      <w:pPr>
        <w:spacing w:line="360" w:lineRule="auto"/>
        <w:rPr>
          <w:rFonts w:ascii="Arial" w:hAnsi="Arial" w:cs="Arial"/>
          <w:sz w:val="24"/>
          <w:szCs w:val="24"/>
        </w:rPr>
      </w:pPr>
      <w:r>
        <w:rPr>
          <w:rFonts w:ascii="Arial" w:hAnsi="Arial" w:cs="Arial"/>
          <w:sz w:val="24"/>
          <w:szCs w:val="24"/>
        </w:rPr>
        <w:t>9.1.11 多层钢结构在地震作用下的内力和位移计算，应考虑梁、柱的弯曲变形和剪切变形，可不考虑梁、柱的轴向变形。</w:t>
      </w:r>
    </w:p>
    <w:p>
      <w:pPr>
        <w:spacing w:line="360" w:lineRule="auto"/>
        <w:rPr>
          <w:rFonts w:ascii="Arial" w:hAnsi="Arial" w:cs="Arial"/>
          <w:kern w:val="0"/>
          <w:sz w:val="24"/>
          <w:szCs w:val="24"/>
        </w:rPr>
      </w:pPr>
      <w:r>
        <w:rPr>
          <w:rFonts w:ascii="Arial" w:hAnsi="Arial" w:cs="Arial"/>
          <w:kern w:val="0"/>
          <w:sz w:val="24"/>
          <w:szCs w:val="24"/>
        </w:rPr>
        <w:t>9.1.13 如果楼层侧移满足下式要求，则应考虑 P-Δ效应：</w:t>
      </w:r>
    </w:p>
    <w:p>
      <w:pPr>
        <w:spacing w:before="156" w:beforeLines="50" w:after="156" w:afterLines="50"/>
        <w:ind w:right="-50" w:rightChars="-24"/>
        <w:jc w:val="center"/>
        <w:rPr>
          <w:rFonts w:ascii="Arial" w:hAnsi="Arial" w:cs="Arial"/>
          <w:szCs w:val="21"/>
        </w:rPr>
      </w:pPr>
      <w:r>
        <w:rPr>
          <w:rFonts w:ascii="Arial" w:hAnsi="Arial" w:cs="Arial"/>
          <w:szCs w:val="21"/>
        </w:rPr>
        <w:drawing>
          <wp:inline distT="0" distB="0" distL="0" distR="0">
            <wp:extent cx="2458720" cy="391160"/>
            <wp:effectExtent l="19050" t="0" r="0" b="0"/>
            <wp:docPr id="46" name="图片 6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60"/>
                    <pic:cNvPicPr>
                      <a:picLocks noChangeAspect="true" noChangeArrowheads="true"/>
                    </pic:cNvPicPr>
                  </pic:nvPicPr>
                  <pic:blipFill>
                    <a:blip r:embed="rId65"/>
                    <a:srcRect l="38019"/>
                    <a:stretch>
                      <a:fillRect/>
                    </a:stretch>
                  </pic:blipFill>
                  <pic:spPr>
                    <a:xfrm>
                      <a:off x="0" y="0"/>
                      <a:ext cx="2458720" cy="391160"/>
                    </a:xfrm>
                    <a:prstGeom prst="rect">
                      <a:avLst/>
                    </a:prstGeom>
                    <a:noFill/>
                    <a:ln w="9525">
                      <a:noFill/>
                      <a:miter lim="800000"/>
                      <a:headEnd/>
                      <a:tailEnd/>
                    </a:ln>
                  </pic:spPr>
                </pic:pic>
              </a:graphicData>
            </a:graphic>
          </wp:inline>
        </w:drawing>
      </w:r>
    </w:p>
    <w:p>
      <w:pPr>
        <w:spacing w:line="360" w:lineRule="auto"/>
        <w:ind w:firstLine="480" w:firstLineChars="200"/>
        <w:rPr>
          <w:rFonts w:ascii="Arial" w:hAnsi="Arial" w:cs="Arial"/>
          <w:kern w:val="0"/>
          <w:sz w:val="24"/>
          <w:szCs w:val="24"/>
        </w:rPr>
      </w:pPr>
      <w:r>
        <w:rPr>
          <w:rFonts w:ascii="Arial" w:hAnsi="Arial" w:cs="Arial"/>
          <w:kern w:val="0"/>
          <w:sz w:val="24"/>
          <w:szCs w:val="24"/>
        </w:rPr>
        <w:t>式中：δ——多遇烈度地震作用下计算楼层的层间位移；</w:t>
      </w:r>
    </w:p>
    <w:p>
      <w:pPr>
        <w:spacing w:line="360" w:lineRule="auto"/>
        <w:ind w:left="1208" w:leftChars="575"/>
        <w:rPr>
          <w:rFonts w:ascii="Arial" w:hAnsi="Arial" w:cs="Arial"/>
          <w:kern w:val="0"/>
          <w:sz w:val="24"/>
          <w:szCs w:val="24"/>
        </w:rPr>
      </w:pPr>
      <w:r>
        <w:rPr>
          <w:rFonts w:ascii="Arial" w:hAnsi="Arial" w:cs="Arial"/>
          <w:kern w:val="0"/>
          <w:sz w:val="24"/>
          <w:szCs w:val="24"/>
        </w:rPr>
        <w:t>h——计算楼层层高；</w:t>
      </w:r>
    </w:p>
    <w:p>
      <w:pPr>
        <w:spacing w:line="360" w:lineRule="auto"/>
        <w:ind w:left="1208" w:leftChars="575"/>
        <w:rPr>
          <w:rFonts w:ascii="Arial" w:hAnsi="Arial" w:cs="Arial"/>
          <w:kern w:val="0"/>
          <w:sz w:val="24"/>
          <w:szCs w:val="24"/>
        </w:rPr>
      </w:pPr>
      <w:r>
        <w:rPr>
          <w:rFonts w:ascii="Arial" w:hAnsi="Arial" w:cs="Arial"/>
          <w:kern w:val="0"/>
          <w:sz w:val="24"/>
          <w:szCs w:val="24"/>
        </w:rPr>
        <w:t>∑N——计算楼层以上全部竖向荷载之和；</w:t>
      </w:r>
    </w:p>
    <w:p>
      <w:pPr>
        <w:spacing w:line="360" w:lineRule="auto"/>
        <w:ind w:left="1208" w:leftChars="575"/>
        <w:rPr>
          <w:rFonts w:ascii="Arial" w:hAnsi="Arial" w:cs="Arial"/>
          <w:kern w:val="0"/>
          <w:sz w:val="24"/>
          <w:szCs w:val="24"/>
        </w:rPr>
      </w:pPr>
      <w:r>
        <w:rPr>
          <w:rFonts w:ascii="Arial" w:hAnsi="Arial" w:cs="Arial"/>
          <w:kern w:val="0"/>
          <w:sz w:val="24"/>
          <w:szCs w:val="24"/>
        </w:rPr>
        <w:t>∑V——计算楼层以上全部多遇烈度水平地震作用之和。</w:t>
      </w:r>
    </w:p>
    <w:p>
      <w:pPr>
        <w:spacing w:line="360" w:lineRule="auto"/>
        <w:ind w:firstLine="480" w:firstLineChars="200"/>
        <w:rPr>
          <w:rFonts w:ascii="Arial" w:hAnsi="Arial" w:cs="Arial"/>
          <w:kern w:val="0"/>
          <w:sz w:val="24"/>
          <w:szCs w:val="24"/>
        </w:rPr>
      </w:pPr>
      <w:r>
        <w:rPr>
          <w:rFonts w:ascii="Arial" w:hAnsi="Arial" w:cs="Arial"/>
          <w:kern w:val="0"/>
          <w:sz w:val="24"/>
          <w:szCs w:val="24"/>
        </w:rPr>
        <w:t>这时该楼层的各构件的弯矩应按下式计算：</w:t>
      </w:r>
    </w:p>
    <w:p>
      <w:pPr>
        <w:spacing w:before="156" w:beforeLines="50" w:after="156" w:afterLines="50"/>
        <w:ind w:right="88" w:rightChars="42" w:firstLine="105" w:firstLineChars="50"/>
        <w:jc w:val="center"/>
        <w:rPr>
          <w:rFonts w:ascii="Arial" w:hAnsi="Arial" w:cs="Arial"/>
          <w:szCs w:val="21"/>
        </w:rPr>
      </w:pPr>
      <w:r>
        <w:rPr>
          <w:rFonts w:ascii="Arial" w:hAnsi="Arial" w:cs="Arial"/>
          <w:szCs w:val="21"/>
        </w:rPr>
        <w:drawing>
          <wp:inline distT="0" distB="0" distL="0" distR="0">
            <wp:extent cx="2829560" cy="325120"/>
            <wp:effectExtent l="19050" t="0" r="8890" b="0"/>
            <wp:docPr id="47" name="图片 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61"/>
                    <pic:cNvPicPr>
                      <a:picLocks noChangeAspect="true" noChangeArrowheads="true"/>
                    </pic:cNvPicPr>
                  </pic:nvPicPr>
                  <pic:blipFill>
                    <a:blip r:embed="rId66"/>
                    <a:srcRect l="36768" r="2" b="-598"/>
                    <a:stretch>
                      <a:fillRect/>
                    </a:stretch>
                  </pic:blipFill>
                  <pic:spPr>
                    <a:xfrm>
                      <a:off x="0" y="0"/>
                      <a:ext cx="2829560" cy="325120"/>
                    </a:xfrm>
                    <a:prstGeom prst="rect">
                      <a:avLst/>
                    </a:prstGeom>
                    <a:noFill/>
                    <a:ln w="9525">
                      <a:noFill/>
                      <a:miter lim="800000"/>
                      <a:headEnd/>
                      <a:tailEnd/>
                    </a:ln>
                  </pic:spPr>
                </pic:pic>
              </a:graphicData>
            </a:graphic>
          </wp:inline>
        </w:drawing>
      </w:r>
    </w:p>
    <w:p>
      <w:pPr>
        <w:spacing w:line="360" w:lineRule="auto"/>
        <w:ind w:firstLine="480" w:firstLineChars="200"/>
        <w:rPr>
          <w:rFonts w:ascii="Arial" w:hAnsi="Arial" w:cs="Arial"/>
          <w:kern w:val="0"/>
          <w:sz w:val="24"/>
          <w:szCs w:val="24"/>
        </w:rPr>
      </w:pPr>
      <w:r>
        <w:rPr>
          <w:rFonts w:ascii="Arial" w:hAnsi="Arial" w:cs="Arial"/>
          <w:kern w:val="0"/>
          <w:sz w:val="24"/>
          <w:szCs w:val="24"/>
        </w:rPr>
        <w:t>式中：</w:t>
      </w:r>
      <w:r>
        <w:rPr>
          <w:rFonts w:ascii="Arial" w:hAnsi="Arial" w:cs="Arial"/>
          <w:kern w:val="0"/>
          <w:sz w:val="24"/>
          <w:szCs w:val="24"/>
        </w:rPr>
        <w:drawing>
          <wp:inline distT="0" distB="0" distL="0" distR="0">
            <wp:extent cx="1031240" cy="533400"/>
            <wp:effectExtent l="19050" t="0" r="0" b="0"/>
            <wp:docPr id="48" name="图片 6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62"/>
                    <pic:cNvPicPr>
                      <a:picLocks noChangeAspect="true" noChangeArrowheads="true"/>
                    </pic:cNvPicPr>
                  </pic:nvPicPr>
                  <pic:blipFill>
                    <a:blip r:embed="rId67"/>
                    <a:srcRect/>
                    <a:stretch>
                      <a:fillRect/>
                    </a:stretch>
                  </pic:blipFill>
                  <pic:spPr>
                    <a:xfrm>
                      <a:off x="0" y="0"/>
                      <a:ext cx="1031240" cy="533400"/>
                    </a:xfrm>
                    <a:prstGeom prst="rect">
                      <a:avLst/>
                    </a:prstGeom>
                    <a:noFill/>
                    <a:ln w="9525">
                      <a:noFill/>
                      <a:miter lim="800000"/>
                      <a:headEnd/>
                      <a:tailEnd/>
                    </a:ln>
                  </pic:spPr>
                </pic:pic>
              </a:graphicData>
            </a:graphic>
          </wp:inline>
        </w:drawing>
      </w:r>
    </w:p>
    <w:p>
      <w:pPr>
        <w:spacing w:line="360" w:lineRule="auto"/>
        <w:ind w:left="1208" w:leftChars="575"/>
        <w:rPr>
          <w:rFonts w:ascii="Arial" w:hAnsi="Arial" w:cs="Arial"/>
          <w:kern w:val="0"/>
          <w:sz w:val="24"/>
          <w:szCs w:val="24"/>
        </w:rPr>
      </w:pPr>
      <w:r>
        <w:rPr>
          <w:rFonts w:ascii="Arial" w:hAnsi="Arial" w:cs="Arial"/>
          <w:kern w:val="0"/>
          <w:sz w:val="24"/>
          <w:szCs w:val="24"/>
        </w:rPr>
        <w:t>M</w:t>
      </w:r>
      <w:r>
        <w:rPr>
          <w:rFonts w:ascii="Arial" w:hAnsi="Arial" w:cs="Arial"/>
          <w:kern w:val="0"/>
          <w:sz w:val="24"/>
          <w:szCs w:val="24"/>
          <w:vertAlign w:val="subscript"/>
        </w:rPr>
        <w:t>1b</w:t>
      </w:r>
      <w:r>
        <w:rPr>
          <w:rFonts w:ascii="Arial" w:hAnsi="Arial" w:cs="Arial"/>
          <w:kern w:val="0"/>
          <w:sz w:val="24"/>
          <w:szCs w:val="24"/>
        </w:rPr>
        <w:t>——结构在竖向荷载作用下所产生的弯矩；</w:t>
      </w:r>
    </w:p>
    <w:p>
      <w:pPr>
        <w:spacing w:line="360" w:lineRule="auto"/>
        <w:ind w:left="1208" w:leftChars="575"/>
        <w:rPr>
          <w:rFonts w:ascii="Arial" w:hAnsi="Arial" w:cs="Arial"/>
          <w:kern w:val="0"/>
          <w:sz w:val="24"/>
          <w:szCs w:val="24"/>
        </w:rPr>
      </w:pPr>
      <w:r>
        <w:rPr>
          <w:rFonts w:ascii="Arial" w:hAnsi="Arial" w:cs="Arial"/>
          <w:kern w:val="0"/>
          <w:sz w:val="24"/>
          <w:szCs w:val="24"/>
        </w:rPr>
        <w:t>M</w:t>
      </w:r>
      <w:r>
        <w:rPr>
          <w:rFonts w:ascii="Arial" w:hAnsi="Arial" w:cs="Arial"/>
          <w:kern w:val="0"/>
          <w:sz w:val="24"/>
          <w:szCs w:val="24"/>
          <w:vertAlign w:val="subscript"/>
        </w:rPr>
        <w:t>1n</w:t>
      </w:r>
      <w:r>
        <w:rPr>
          <w:rFonts w:ascii="Arial" w:hAnsi="Arial" w:cs="Arial"/>
          <w:kern w:val="0"/>
          <w:sz w:val="24"/>
          <w:szCs w:val="24"/>
        </w:rPr>
        <w:t>——结构在水平荷载作用下所产生的弯矩；</w:t>
      </w:r>
    </w:p>
    <w:p>
      <w:pPr>
        <w:spacing w:line="360" w:lineRule="auto"/>
        <w:rPr>
          <w:rFonts w:ascii="Arial" w:hAnsi="Arial" w:cs="Arial"/>
          <w:sz w:val="24"/>
          <w:szCs w:val="24"/>
        </w:rPr>
      </w:pPr>
      <w:r>
        <w:rPr>
          <w:rFonts w:ascii="Arial" w:hAnsi="Arial" w:cs="Arial"/>
          <w:sz w:val="24"/>
          <w:szCs w:val="24"/>
        </w:rPr>
        <w:t>9.1.14 在框架-支撑结构中，框架部分按计算得到的地震层剪力应乘以调整系数，达到不小于结构底部总地震剪力的25%和框架部分计算最大层剪力1.8倍二者的较小值。但对于采用偏心支撑或屈曲约束支撑的框架，其地震剪力可不进行调整。</w:t>
      </w:r>
    </w:p>
    <w:p>
      <w:pPr>
        <w:spacing w:line="360" w:lineRule="auto"/>
        <w:rPr>
          <w:rFonts w:ascii="Arial" w:hAnsi="Arial" w:cs="Arial"/>
          <w:sz w:val="24"/>
          <w:szCs w:val="24"/>
        </w:rPr>
      </w:pPr>
      <w:r>
        <w:rPr>
          <w:rFonts w:ascii="Arial" w:hAnsi="Arial" w:cs="Arial"/>
          <w:sz w:val="24"/>
          <w:szCs w:val="24"/>
        </w:rPr>
        <w:t>9.1.17 普通中心支撑框架构件的抗震承载力验算，应符合下列规定：</w:t>
      </w:r>
    </w:p>
    <w:p>
      <w:pPr>
        <w:spacing w:line="360" w:lineRule="auto"/>
        <w:ind w:firstLine="480" w:firstLineChars="200"/>
        <w:rPr>
          <w:rFonts w:ascii="Arial" w:hAnsi="Arial" w:cs="Arial"/>
          <w:kern w:val="0"/>
          <w:sz w:val="24"/>
          <w:szCs w:val="24"/>
        </w:rPr>
      </w:pPr>
      <w:r>
        <w:rPr>
          <w:rFonts w:ascii="Arial" w:hAnsi="Arial" w:cs="Arial"/>
          <w:kern w:val="0"/>
          <w:sz w:val="24"/>
          <w:szCs w:val="24"/>
        </w:rPr>
        <w:t>1 中心支撑框架的斜杆轴线偏移梁柱轴线交点不超过支撑杆件的宽度时，仍可按中心支撑框架分析，但应计及由此产生的附加弯矩。</w:t>
      </w:r>
    </w:p>
    <w:p>
      <w:pPr>
        <w:spacing w:line="360" w:lineRule="auto"/>
        <w:rPr>
          <w:rFonts w:ascii="Arial" w:hAnsi="Arial" w:cs="Arial"/>
          <w:sz w:val="24"/>
          <w:szCs w:val="24"/>
        </w:rPr>
      </w:pPr>
      <w:r>
        <w:rPr>
          <w:rFonts w:ascii="Arial" w:hAnsi="Arial" w:cs="Arial"/>
          <w:sz w:val="24"/>
          <w:szCs w:val="24"/>
        </w:rPr>
        <w:t>9.1.19 偏心支撑框架构件的抗震承载力验算，应符合下列规定：</w:t>
      </w:r>
    </w:p>
    <w:p>
      <w:pPr>
        <w:spacing w:line="360" w:lineRule="auto"/>
        <w:ind w:firstLine="480" w:firstLineChars="200"/>
        <w:rPr>
          <w:rFonts w:ascii="Arial" w:hAnsi="Arial" w:cs="Arial"/>
          <w:kern w:val="0"/>
          <w:sz w:val="24"/>
          <w:szCs w:val="24"/>
        </w:rPr>
      </w:pPr>
      <w:r>
        <w:rPr>
          <w:rFonts w:ascii="Arial" w:hAnsi="Arial" w:cs="Arial"/>
          <w:kern w:val="0"/>
          <w:sz w:val="24"/>
          <w:szCs w:val="24"/>
        </w:rPr>
        <w:t>1 偏心支撑框架构件的内力设计值，应按下列要求调整：</w:t>
      </w:r>
    </w:p>
    <w:p>
      <w:pPr>
        <w:pStyle w:val="78"/>
        <w:numPr>
          <w:ilvl w:val="0"/>
          <w:numId w:val="22"/>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支撑斜杆的轴力设计值，应取与支撑斜杆相连接的消能梁段达到受剪承载力时支撑斜杆轴力与增大系数的乘积，增大系数不应小于1.3；</w:t>
      </w:r>
    </w:p>
    <w:p>
      <w:pPr>
        <w:pStyle w:val="78"/>
        <w:numPr>
          <w:ilvl w:val="0"/>
          <w:numId w:val="22"/>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位于消能梁段同一跨的框架梁内力设计值，应取消能梁段达到受剪承载力时框架梁内力与增大系数的乘积，增大系数不应小于1.2；</w:t>
      </w:r>
    </w:p>
    <w:p>
      <w:pPr>
        <w:pStyle w:val="78"/>
        <w:numPr>
          <w:ilvl w:val="0"/>
          <w:numId w:val="22"/>
        </w:numPr>
        <w:spacing w:line="360" w:lineRule="auto"/>
        <w:ind w:left="885" w:leftChars="250" w:hanging="360" w:hangingChars="150"/>
        <w:rPr>
          <w:rFonts w:ascii="Arial" w:hAnsi="Arial" w:cs="Arial"/>
          <w:kern w:val="0"/>
          <w:sz w:val="24"/>
          <w:szCs w:val="24"/>
        </w:rPr>
      </w:pPr>
      <w:r>
        <w:rPr>
          <w:rFonts w:ascii="Arial" w:hAnsi="Arial" w:cs="Arial"/>
          <w:kern w:val="0"/>
          <w:sz w:val="24"/>
          <w:szCs w:val="24"/>
        </w:rPr>
        <w:t>框架柱的内力设计值，应取消能梁段达到受剪承载力时柱内力与增大系数的乘积，增大系数不应小于1.2。</w:t>
      </w:r>
    </w:p>
    <w:p>
      <w:pPr>
        <w:spacing w:line="360" w:lineRule="auto"/>
        <w:rPr>
          <w:rFonts w:ascii="Arial" w:hAnsi="Arial" w:cs="Arial"/>
          <w:sz w:val="24"/>
          <w:szCs w:val="24"/>
        </w:rPr>
      </w:pPr>
      <w:r>
        <w:rPr>
          <w:rFonts w:ascii="Arial" w:hAnsi="Arial" w:cs="Arial"/>
          <w:sz w:val="24"/>
          <w:szCs w:val="24"/>
        </w:rPr>
        <w:t>9.1.2</w:t>
      </w:r>
      <w:r>
        <w:rPr>
          <w:rFonts w:hint="eastAsia" w:ascii="Arial" w:hAnsi="Arial" w:cs="Arial"/>
          <w:sz w:val="24"/>
          <w:szCs w:val="24"/>
        </w:rPr>
        <w:t>2</w:t>
      </w:r>
      <w:r>
        <w:rPr>
          <w:rFonts w:ascii="Arial" w:hAnsi="Arial" w:cs="Arial"/>
          <w:sz w:val="24"/>
          <w:szCs w:val="24"/>
        </w:rPr>
        <w:t xml:space="preserve"> 柱的</w:t>
      </w:r>
      <w:r>
        <w:rPr>
          <w:rFonts w:hint="eastAsia" w:ascii="Arial" w:hAnsi="Arial" w:cs="Arial"/>
          <w:sz w:val="24"/>
          <w:szCs w:val="24"/>
        </w:rPr>
        <w:t>长细比</w:t>
      </w:r>
      <w:r>
        <w:rPr>
          <w:rFonts w:ascii="Arial" w:hAnsi="Arial" w:cs="Arial"/>
          <w:sz w:val="24"/>
          <w:szCs w:val="24"/>
        </w:rPr>
        <w:t>不应</w:t>
      </w:r>
      <w:r>
        <w:rPr>
          <w:rFonts w:hint="eastAsia" w:ascii="Arial" w:hAnsi="Arial" w:cs="Arial"/>
          <w:sz w:val="24"/>
          <w:szCs w:val="24"/>
        </w:rPr>
        <w:t>大于120</w:t>
      </w:r>
      <m:oMath>
        <m:rad>
          <m:radPr>
            <m:degHide m:val="true"/>
            <m:ctrlPr>
              <w:rPr>
                <w:rFonts w:ascii="Cambria Math" w:hAnsi="Cambria Math" w:cs="Arial"/>
                <w:i/>
                <w:sz w:val="24"/>
                <w:szCs w:val="24"/>
              </w:rPr>
            </m:ctrlPr>
          </m:radPr>
          <m:deg>
            <m:ctrlPr>
              <w:rPr>
                <w:rFonts w:ascii="Cambria Math" w:hAnsi="Cambria Math" w:cs="Arial"/>
                <w:i/>
                <w:sz w:val="24"/>
                <w:szCs w:val="24"/>
              </w:rPr>
            </m:ctrlPr>
          </m:deg>
          <m:e>
            <m:r>
              <m:rPr/>
              <w:rPr>
                <w:rFonts w:hint="eastAsia" w:ascii="Cambria Math" w:hAnsi="Cambria Math" w:cs="Arial"/>
                <w:sz w:val="24"/>
                <w:szCs w:val="24"/>
              </w:rPr>
              <m:t>235/</m:t>
            </m:r>
            <m:sSub>
              <m:sSubPr>
                <m:ctrlPr>
                  <w:rPr>
                    <w:rFonts w:hint="eastAsia" w:ascii="Cambria Math" w:hAnsi="Cambria Math" w:cs="Arial"/>
                    <w:i/>
                    <w:sz w:val="24"/>
                    <w:szCs w:val="24"/>
                  </w:rPr>
                </m:ctrlPr>
              </m:sSubPr>
              <m:e>
                <m:r>
                  <m:rPr/>
                  <w:rPr>
                    <w:rFonts w:ascii="Cambria Math" w:hAnsi="Cambria Math" w:cs="Arial"/>
                    <w:sz w:val="24"/>
                    <w:szCs w:val="24"/>
                  </w:rPr>
                  <m:t>f</m:t>
                </m:r>
                <m:ctrlPr>
                  <w:rPr>
                    <w:rFonts w:hint="eastAsia" w:ascii="Cambria Math" w:hAnsi="Cambria Math" w:cs="Arial"/>
                    <w:i/>
                    <w:sz w:val="24"/>
                    <w:szCs w:val="24"/>
                  </w:rPr>
                </m:ctrlPr>
              </m:e>
              <m:sub>
                <m:r>
                  <m:rPr/>
                  <w:rPr>
                    <w:rFonts w:ascii="Cambria Math" w:hAnsi="Cambria Math" w:cs="Arial"/>
                    <w:sz w:val="24"/>
                    <w:szCs w:val="24"/>
                  </w:rPr>
                  <m:t>ay</m:t>
                </m:r>
                <m:ctrlPr>
                  <w:rPr>
                    <w:rFonts w:hint="eastAsia" w:ascii="Cambria Math" w:hAnsi="Cambria Math" w:cs="Arial"/>
                    <w:i/>
                    <w:sz w:val="24"/>
                    <w:szCs w:val="24"/>
                  </w:rPr>
                </m:ctrlPr>
              </m:sub>
            </m:sSub>
            <m:ctrlPr>
              <w:rPr>
                <w:rFonts w:ascii="Cambria Math" w:hAnsi="Cambria Math" w:cs="Arial"/>
                <w:i/>
                <w:sz w:val="24"/>
                <w:szCs w:val="24"/>
              </w:rPr>
            </m:ctrlPr>
          </m:e>
        </m:rad>
      </m:oMath>
      <w:r>
        <w:rPr>
          <w:rFonts w:hint="eastAsia" w:ascii="Arial" w:hAnsi="Arial" w:cs="Arial"/>
          <w:kern w:val="0"/>
          <w:sz w:val="24"/>
          <w:szCs w:val="24"/>
        </w:rPr>
        <w:t>。</w:t>
      </w:r>
    </w:p>
    <w:p>
      <w:pPr>
        <w:spacing w:line="360" w:lineRule="auto"/>
        <w:rPr>
          <w:rFonts w:ascii="Arial" w:hAnsi="Arial" w:cs="Arial"/>
          <w:sz w:val="24"/>
          <w:szCs w:val="24"/>
        </w:rPr>
      </w:pPr>
      <w:r>
        <w:rPr>
          <w:rFonts w:ascii="Arial" w:hAnsi="Arial" w:cs="Arial"/>
          <w:sz w:val="24"/>
          <w:szCs w:val="24"/>
        </w:rPr>
        <w:t>9.1.23 柱的板件宽厚比不应超过下列数值：</w:t>
      </w:r>
    </w:p>
    <w:p>
      <w:pPr>
        <w:spacing w:line="360" w:lineRule="auto"/>
        <w:ind w:firstLine="480" w:firstLineChars="200"/>
        <w:rPr>
          <w:rFonts w:ascii="Arial" w:hAnsi="Arial" w:cs="Arial"/>
          <w:kern w:val="0"/>
          <w:sz w:val="24"/>
          <w:szCs w:val="24"/>
        </w:rPr>
      </w:pPr>
      <w:r>
        <w:rPr>
          <w:rFonts w:ascii="Arial" w:hAnsi="Arial" w:cs="Arial"/>
          <w:kern w:val="0"/>
          <w:sz w:val="24"/>
          <w:szCs w:val="24"/>
        </w:rPr>
        <w:t xml:space="preserve">翼缘外伸部分： </w:t>
      </w:r>
      <w:r>
        <w:rPr>
          <w:rFonts w:ascii="Arial" w:hAnsi="Arial" w:cs="Arial"/>
          <w:kern w:val="0"/>
          <w:sz w:val="24"/>
          <w:szCs w:val="24"/>
        </w:rPr>
        <w:drawing>
          <wp:inline distT="0" distB="0" distL="0" distR="0">
            <wp:extent cx="858520" cy="238760"/>
            <wp:effectExtent l="19050" t="0" r="0" b="0"/>
            <wp:docPr id="49" name="图片 6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63"/>
                    <pic:cNvPicPr>
                      <a:picLocks noChangeAspect="true" noChangeArrowheads="true"/>
                    </pic:cNvPicPr>
                  </pic:nvPicPr>
                  <pic:blipFill>
                    <a:blip r:embed="rId68"/>
                    <a:srcRect/>
                    <a:stretch>
                      <a:fillRect/>
                    </a:stretch>
                  </pic:blipFill>
                  <pic:spPr>
                    <a:xfrm>
                      <a:off x="0" y="0"/>
                      <a:ext cx="858520" cy="238760"/>
                    </a:xfrm>
                    <a:prstGeom prst="rect">
                      <a:avLst/>
                    </a:prstGeom>
                    <a:noFill/>
                    <a:ln w="9525">
                      <a:noFill/>
                      <a:miter lim="800000"/>
                      <a:headEnd/>
                      <a:tailEnd/>
                    </a:ln>
                  </pic:spPr>
                </pic:pic>
              </a:graphicData>
            </a:graphic>
          </wp:inline>
        </w:drawing>
      </w:r>
    </w:p>
    <w:p>
      <w:pPr>
        <w:spacing w:line="360" w:lineRule="auto"/>
        <w:ind w:firstLine="480" w:firstLineChars="200"/>
        <w:rPr>
          <w:rFonts w:ascii="Arial" w:hAnsi="Arial" w:cs="Arial"/>
          <w:kern w:val="0"/>
          <w:sz w:val="24"/>
          <w:szCs w:val="24"/>
        </w:rPr>
      </w:pPr>
      <w:r>
        <w:rPr>
          <w:rFonts w:ascii="Arial" w:hAnsi="Arial" w:cs="Arial"/>
          <w:kern w:val="0"/>
          <w:sz w:val="24"/>
          <w:szCs w:val="24"/>
        </w:rPr>
        <w:t xml:space="preserve">两腹板间翼缘： </w:t>
      </w:r>
      <w:r>
        <w:rPr>
          <w:rFonts w:ascii="Arial" w:hAnsi="Arial" w:cs="Arial"/>
          <w:kern w:val="0"/>
          <w:sz w:val="24"/>
          <w:szCs w:val="24"/>
        </w:rPr>
        <w:drawing>
          <wp:inline distT="0" distB="0" distL="0" distR="0">
            <wp:extent cx="868680" cy="264160"/>
            <wp:effectExtent l="19050" t="0" r="7620" b="0"/>
            <wp:docPr id="50" name="图片 6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64"/>
                    <pic:cNvPicPr>
                      <a:picLocks noChangeAspect="true" noChangeArrowheads="true"/>
                    </pic:cNvPicPr>
                  </pic:nvPicPr>
                  <pic:blipFill>
                    <a:blip r:embed="rId69"/>
                    <a:srcRect/>
                    <a:stretch>
                      <a:fillRect/>
                    </a:stretch>
                  </pic:blipFill>
                  <pic:spPr>
                    <a:xfrm>
                      <a:off x="0" y="0"/>
                      <a:ext cx="868680" cy="264160"/>
                    </a:xfrm>
                    <a:prstGeom prst="rect">
                      <a:avLst/>
                    </a:prstGeom>
                    <a:noFill/>
                    <a:ln w="9525">
                      <a:noFill/>
                      <a:miter lim="800000"/>
                      <a:headEnd/>
                      <a:tailEnd/>
                    </a:ln>
                  </pic:spPr>
                </pic:pic>
              </a:graphicData>
            </a:graphic>
          </wp:inline>
        </w:drawing>
      </w:r>
    </w:p>
    <w:p>
      <w:pPr>
        <w:spacing w:line="360" w:lineRule="auto"/>
        <w:ind w:firstLine="480" w:firstLineChars="200"/>
        <w:rPr>
          <w:rFonts w:ascii="Arial" w:hAnsi="Arial" w:cs="Arial"/>
          <w:kern w:val="0"/>
          <w:sz w:val="24"/>
          <w:szCs w:val="24"/>
        </w:rPr>
      </w:pPr>
      <w:r>
        <w:rPr>
          <w:rFonts w:ascii="Arial" w:hAnsi="Arial" w:cs="Arial"/>
          <w:kern w:val="0"/>
          <w:sz w:val="24"/>
          <w:szCs w:val="24"/>
        </w:rPr>
        <w:t xml:space="preserve">腹板： </w:t>
      </w:r>
      <w:r>
        <w:rPr>
          <w:rFonts w:ascii="Arial" w:hAnsi="Arial" w:cs="Arial"/>
          <w:kern w:val="0"/>
          <w:sz w:val="24"/>
          <w:szCs w:val="24"/>
        </w:rPr>
        <w:drawing>
          <wp:inline distT="0" distB="0" distL="0" distR="0">
            <wp:extent cx="894080" cy="228600"/>
            <wp:effectExtent l="19050" t="0" r="1270" b="0"/>
            <wp:docPr id="51" name="图片 6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65"/>
                    <pic:cNvPicPr>
                      <a:picLocks noChangeAspect="true" noChangeArrowheads="true"/>
                    </pic:cNvPicPr>
                  </pic:nvPicPr>
                  <pic:blipFill>
                    <a:blip r:embed="rId70"/>
                    <a:srcRect/>
                    <a:stretch>
                      <a:fillRect/>
                    </a:stretch>
                  </pic:blipFill>
                  <pic:spPr>
                    <a:xfrm>
                      <a:off x="0" y="0"/>
                      <a:ext cx="894080" cy="228600"/>
                    </a:xfrm>
                    <a:prstGeom prst="rect">
                      <a:avLst/>
                    </a:prstGeom>
                    <a:noFill/>
                    <a:ln w="9525">
                      <a:noFill/>
                      <a:miter lim="800000"/>
                      <a:headEnd/>
                      <a:tailEnd/>
                    </a:ln>
                  </pic:spPr>
                </pic:pic>
              </a:graphicData>
            </a:graphic>
          </wp:inline>
        </w:drawing>
      </w:r>
    </w:p>
    <w:p>
      <w:pPr>
        <w:spacing w:line="360" w:lineRule="auto"/>
        <w:rPr>
          <w:rFonts w:ascii="Arial" w:hAnsi="Arial" w:cs="Arial"/>
          <w:sz w:val="24"/>
          <w:szCs w:val="24"/>
        </w:rPr>
      </w:pPr>
      <w:r>
        <w:rPr>
          <w:rFonts w:ascii="Arial" w:hAnsi="Arial" w:cs="Arial"/>
          <w:sz w:val="24"/>
          <w:szCs w:val="24"/>
        </w:rPr>
        <w:t>9.1.24 梁的板件宽厚比不应超过下列数值：</w:t>
      </w:r>
    </w:p>
    <w:p>
      <w:pPr>
        <w:spacing w:line="360" w:lineRule="auto"/>
        <w:ind w:firstLine="480" w:firstLineChars="200"/>
        <w:rPr>
          <w:rFonts w:ascii="Arial" w:hAnsi="Arial" w:cs="Arial"/>
          <w:kern w:val="0"/>
          <w:sz w:val="24"/>
          <w:szCs w:val="24"/>
        </w:rPr>
      </w:pPr>
      <w:r>
        <w:rPr>
          <w:rFonts w:ascii="Arial" w:hAnsi="Arial" w:cs="Arial"/>
          <w:kern w:val="0"/>
          <w:sz w:val="24"/>
          <w:szCs w:val="24"/>
        </w:rPr>
        <w:t>翼缘外伸部分：</w:t>
      </w:r>
      <w:r>
        <w:rPr>
          <w:rFonts w:ascii="Arial" w:hAnsi="Arial" w:cs="Arial"/>
          <w:kern w:val="0"/>
          <w:sz w:val="24"/>
          <w:szCs w:val="24"/>
        </w:rPr>
        <w:drawing>
          <wp:inline distT="0" distB="0" distL="0" distR="0">
            <wp:extent cx="802640" cy="238760"/>
            <wp:effectExtent l="19050" t="0" r="0" b="0"/>
            <wp:docPr id="52" name="图片 6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66"/>
                    <pic:cNvPicPr>
                      <a:picLocks noChangeAspect="true" noChangeArrowheads="true"/>
                    </pic:cNvPicPr>
                  </pic:nvPicPr>
                  <pic:blipFill>
                    <a:blip r:embed="rId71"/>
                    <a:srcRect/>
                    <a:stretch>
                      <a:fillRect/>
                    </a:stretch>
                  </pic:blipFill>
                  <pic:spPr>
                    <a:xfrm>
                      <a:off x="0" y="0"/>
                      <a:ext cx="802640" cy="238760"/>
                    </a:xfrm>
                    <a:prstGeom prst="rect">
                      <a:avLst/>
                    </a:prstGeom>
                    <a:noFill/>
                    <a:ln w="9525">
                      <a:noFill/>
                      <a:miter lim="800000"/>
                      <a:headEnd/>
                      <a:tailEnd/>
                    </a:ln>
                  </pic:spPr>
                </pic:pic>
              </a:graphicData>
            </a:graphic>
          </wp:inline>
        </w:drawing>
      </w:r>
    </w:p>
    <w:p>
      <w:pPr>
        <w:spacing w:line="360" w:lineRule="auto"/>
        <w:ind w:firstLine="480" w:firstLineChars="200"/>
        <w:rPr>
          <w:rFonts w:ascii="Arial" w:hAnsi="Arial" w:cs="Arial"/>
          <w:kern w:val="0"/>
          <w:sz w:val="24"/>
          <w:szCs w:val="24"/>
        </w:rPr>
      </w:pPr>
      <w:r>
        <w:rPr>
          <w:rFonts w:ascii="Arial" w:hAnsi="Arial" w:cs="Arial"/>
          <w:kern w:val="0"/>
          <w:sz w:val="24"/>
          <w:szCs w:val="24"/>
        </w:rPr>
        <w:t>两腹板间翼缘：</w:t>
      </w:r>
      <w:r>
        <w:rPr>
          <w:rFonts w:ascii="Arial" w:hAnsi="Arial" w:cs="Arial"/>
          <w:kern w:val="0"/>
          <w:sz w:val="24"/>
          <w:szCs w:val="24"/>
        </w:rPr>
        <w:drawing>
          <wp:inline distT="0" distB="0" distL="0" distR="0">
            <wp:extent cx="868680" cy="218440"/>
            <wp:effectExtent l="19050" t="0" r="7620" b="0"/>
            <wp:docPr id="53" name="图片 6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3" name="图片 67"/>
                    <pic:cNvPicPr>
                      <a:picLocks noChangeAspect="true" noChangeArrowheads="true"/>
                    </pic:cNvPicPr>
                  </pic:nvPicPr>
                  <pic:blipFill>
                    <a:blip r:embed="rId72"/>
                    <a:srcRect/>
                    <a:stretch>
                      <a:fillRect/>
                    </a:stretch>
                  </pic:blipFill>
                  <pic:spPr>
                    <a:xfrm>
                      <a:off x="0" y="0"/>
                      <a:ext cx="868680" cy="218440"/>
                    </a:xfrm>
                    <a:prstGeom prst="rect">
                      <a:avLst/>
                    </a:prstGeom>
                    <a:noFill/>
                    <a:ln w="9525">
                      <a:noFill/>
                      <a:miter lim="800000"/>
                      <a:headEnd/>
                      <a:tailEnd/>
                    </a:ln>
                  </pic:spPr>
                </pic:pic>
              </a:graphicData>
            </a:graphic>
          </wp:inline>
        </w:drawing>
      </w:r>
    </w:p>
    <w:p>
      <w:pPr>
        <w:spacing w:line="360" w:lineRule="auto"/>
        <w:ind w:firstLine="480" w:firstLineChars="200"/>
        <w:rPr>
          <w:rFonts w:ascii="Arial" w:hAnsi="Arial" w:cs="Arial"/>
          <w:szCs w:val="21"/>
        </w:rPr>
      </w:pPr>
      <w:r>
        <w:rPr>
          <w:rFonts w:ascii="Arial" w:hAnsi="Arial" w:cs="Arial"/>
          <w:kern w:val="0"/>
          <w:sz w:val="24"/>
          <w:szCs w:val="24"/>
        </w:rPr>
        <w:t>工字形或箱形截面腹板：</w:t>
      </w:r>
      <w:r>
        <w:rPr>
          <w:rFonts w:ascii="Arial" w:hAnsi="Arial" w:cs="Arial"/>
          <w:szCs w:val="21"/>
        </w:rPr>
        <w:drawing>
          <wp:inline distT="0" distB="0" distL="0" distR="0">
            <wp:extent cx="2021840" cy="198120"/>
            <wp:effectExtent l="19050" t="0" r="0" b="0"/>
            <wp:docPr id="54" name="图片 6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 name="图片 68"/>
                    <pic:cNvPicPr>
                      <a:picLocks noChangeAspect="true" noChangeArrowheads="true"/>
                    </pic:cNvPicPr>
                  </pic:nvPicPr>
                  <pic:blipFill>
                    <a:blip r:embed="rId73"/>
                    <a:srcRect/>
                    <a:stretch>
                      <a:fillRect/>
                    </a:stretch>
                  </pic:blipFill>
                  <pic:spPr>
                    <a:xfrm>
                      <a:off x="0" y="0"/>
                      <a:ext cx="2021840" cy="198120"/>
                    </a:xfrm>
                    <a:prstGeom prst="rect">
                      <a:avLst/>
                    </a:prstGeom>
                    <a:noFill/>
                    <a:ln w="9525">
                      <a:noFill/>
                      <a:miter lim="800000"/>
                      <a:headEnd/>
                      <a:tailEnd/>
                    </a:ln>
                  </pic:spPr>
                </pic:pic>
              </a:graphicData>
            </a:graphic>
          </wp:inline>
        </w:drawing>
      </w:r>
    </w:p>
    <w:p>
      <w:pPr>
        <w:spacing w:line="360" w:lineRule="auto"/>
        <w:rPr>
          <w:rFonts w:ascii="Arial" w:hAnsi="Arial" w:cs="Arial"/>
          <w:sz w:val="24"/>
          <w:szCs w:val="24"/>
        </w:rPr>
      </w:pPr>
      <w:r>
        <w:rPr>
          <w:rFonts w:ascii="Arial" w:hAnsi="Arial" w:cs="Arial"/>
          <w:sz w:val="24"/>
          <w:szCs w:val="24"/>
        </w:rPr>
        <w:t>9.1.27 框架柱接头宜位于框架梁上方1.3m附近。上下柱的对接接头应采用全熔透焊缝，柱拼接接头上下各100mm范围内，工字形柱翼缘与腹板间或箱型柱壁板间的连续焊缝，应采用全熔透焊缝。</w:t>
      </w:r>
    </w:p>
    <w:p>
      <w:pPr>
        <w:spacing w:line="360" w:lineRule="auto"/>
        <w:rPr>
          <w:rFonts w:ascii="Arial" w:hAnsi="Arial" w:cs="Arial"/>
          <w:sz w:val="24"/>
          <w:szCs w:val="24"/>
        </w:rPr>
      </w:pPr>
      <w:r>
        <w:rPr>
          <w:rFonts w:hint="eastAsia" w:ascii="Arial" w:hAnsi="Arial" w:cs="Arial"/>
          <w:sz w:val="24"/>
          <w:szCs w:val="24"/>
        </w:rPr>
        <w:t>9.1.28 框架柱间支撑杆件的长细比当为拉杆时，不应超过180</w:t>
      </w:r>
      <m:oMath>
        <m:rad>
          <m:radPr>
            <m:degHide m:val="true"/>
            <m:ctrlPr>
              <w:rPr>
                <w:rFonts w:ascii="Cambria Math" w:hAnsi="Cambria Math" w:cs="Arial"/>
                <w:i/>
                <w:sz w:val="24"/>
                <w:szCs w:val="24"/>
              </w:rPr>
            </m:ctrlPr>
          </m:radPr>
          <m:deg>
            <m:ctrlPr>
              <w:rPr>
                <w:rFonts w:ascii="Cambria Math" w:hAnsi="Cambria Math" w:cs="Arial"/>
                <w:i/>
                <w:sz w:val="24"/>
                <w:szCs w:val="24"/>
              </w:rPr>
            </m:ctrlPr>
          </m:deg>
          <m:e>
            <m:r>
              <m:rPr/>
              <w:rPr>
                <w:rFonts w:hint="eastAsia" w:ascii="Cambria Math" w:hAnsi="Cambria Math" w:cs="Arial"/>
                <w:sz w:val="24"/>
                <w:szCs w:val="24"/>
              </w:rPr>
              <m:t>235/</m:t>
            </m:r>
            <m:sSub>
              <m:sSubPr>
                <m:ctrlPr>
                  <w:rPr>
                    <w:rFonts w:hint="eastAsia" w:ascii="Cambria Math" w:hAnsi="Cambria Math" w:cs="Arial"/>
                    <w:i/>
                    <w:sz w:val="24"/>
                    <w:szCs w:val="24"/>
                  </w:rPr>
                </m:ctrlPr>
              </m:sSubPr>
              <m:e>
                <m:r>
                  <m:rPr/>
                  <w:rPr>
                    <w:rFonts w:ascii="Cambria Math" w:hAnsi="Cambria Math" w:cs="Arial"/>
                    <w:sz w:val="24"/>
                    <w:szCs w:val="24"/>
                  </w:rPr>
                  <m:t>f</m:t>
                </m:r>
                <m:ctrlPr>
                  <w:rPr>
                    <w:rFonts w:hint="eastAsia" w:ascii="Cambria Math" w:hAnsi="Cambria Math" w:cs="Arial"/>
                    <w:i/>
                    <w:sz w:val="24"/>
                    <w:szCs w:val="24"/>
                  </w:rPr>
                </m:ctrlPr>
              </m:e>
              <m:sub>
                <m:r>
                  <m:rPr/>
                  <w:rPr>
                    <w:rFonts w:ascii="Cambria Math" w:hAnsi="Cambria Math" w:cs="Arial"/>
                    <w:sz w:val="24"/>
                    <w:szCs w:val="24"/>
                  </w:rPr>
                  <m:t>ay</m:t>
                </m:r>
                <m:ctrlPr>
                  <w:rPr>
                    <w:rFonts w:hint="eastAsia" w:ascii="Cambria Math" w:hAnsi="Cambria Math" w:cs="Arial"/>
                    <w:i/>
                    <w:sz w:val="24"/>
                    <w:szCs w:val="24"/>
                  </w:rPr>
                </m:ctrlPr>
              </m:sub>
            </m:sSub>
            <m:ctrlPr>
              <w:rPr>
                <w:rFonts w:ascii="Cambria Math" w:hAnsi="Cambria Math" w:cs="Arial"/>
                <w:i/>
                <w:sz w:val="24"/>
                <w:szCs w:val="24"/>
              </w:rPr>
            </m:ctrlPr>
          </m:e>
        </m:rad>
      </m:oMath>
      <w:r>
        <w:rPr>
          <w:rFonts w:hint="eastAsia" w:ascii="Arial" w:hAnsi="Arial" w:cs="Arial"/>
          <w:sz w:val="24"/>
          <w:szCs w:val="24"/>
        </w:rPr>
        <w:t>，当为压杆时，不应超过120</w:t>
      </w:r>
      <m:oMath>
        <m:rad>
          <m:radPr>
            <m:degHide m:val="true"/>
            <m:ctrlPr>
              <w:rPr>
                <w:rFonts w:ascii="Cambria Math" w:hAnsi="Cambria Math" w:cs="Arial"/>
                <w:i/>
                <w:sz w:val="24"/>
                <w:szCs w:val="24"/>
              </w:rPr>
            </m:ctrlPr>
          </m:radPr>
          <m:deg>
            <m:ctrlPr>
              <w:rPr>
                <w:rFonts w:ascii="Cambria Math" w:hAnsi="Cambria Math" w:cs="Arial"/>
                <w:i/>
                <w:sz w:val="24"/>
                <w:szCs w:val="24"/>
              </w:rPr>
            </m:ctrlPr>
          </m:deg>
          <m:e>
            <m:r>
              <m:rPr/>
              <w:rPr>
                <w:rFonts w:hint="eastAsia" w:ascii="Cambria Math" w:hAnsi="Cambria Math" w:cs="Arial"/>
                <w:sz w:val="24"/>
                <w:szCs w:val="24"/>
              </w:rPr>
              <m:t>235/</m:t>
            </m:r>
            <m:sSub>
              <m:sSubPr>
                <m:ctrlPr>
                  <w:rPr>
                    <w:rFonts w:hint="eastAsia" w:ascii="Cambria Math" w:hAnsi="Cambria Math" w:cs="Arial"/>
                    <w:i/>
                    <w:sz w:val="24"/>
                    <w:szCs w:val="24"/>
                  </w:rPr>
                </m:ctrlPr>
              </m:sSubPr>
              <m:e>
                <m:r>
                  <m:rPr/>
                  <w:rPr>
                    <w:rFonts w:ascii="Cambria Math" w:hAnsi="Cambria Math" w:cs="Arial"/>
                    <w:sz w:val="24"/>
                    <w:szCs w:val="24"/>
                  </w:rPr>
                  <m:t>f</m:t>
                </m:r>
                <m:ctrlPr>
                  <w:rPr>
                    <w:rFonts w:hint="eastAsia" w:ascii="Cambria Math" w:hAnsi="Cambria Math" w:cs="Arial"/>
                    <w:i/>
                    <w:sz w:val="24"/>
                    <w:szCs w:val="24"/>
                  </w:rPr>
                </m:ctrlPr>
              </m:e>
              <m:sub>
                <m:r>
                  <m:rPr/>
                  <w:rPr>
                    <w:rFonts w:ascii="Cambria Math" w:hAnsi="Cambria Math" w:cs="Arial"/>
                    <w:sz w:val="24"/>
                    <w:szCs w:val="24"/>
                  </w:rPr>
                  <m:t>ay</m:t>
                </m:r>
                <m:ctrlPr>
                  <w:rPr>
                    <w:rFonts w:hint="eastAsia" w:ascii="Cambria Math" w:hAnsi="Cambria Math" w:cs="Arial"/>
                    <w:i/>
                    <w:sz w:val="24"/>
                    <w:szCs w:val="24"/>
                  </w:rPr>
                </m:ctrlPr>
              </m:sub>
            </m:sSub>
            <m:ctrlPr>
              <w:rPr>
                <w:rFonts w:ascii="Cambria Math" w:hAnsi="Cambria Math" w:cs="Arial"/>
                <w:i/>
                <w:sz w:val="24"/>
                <w:szCs w:val="24"/>
              </w:rPr>
            </m:ctrlPr>
          </m:e>
        </m:rad>
      </m:oMath>
      <w:r>
        <w:rPr>
          <w:rFonts w:hint="eastAsia" w:ascii="Arial" w:hAnsi="Arial" w:cs="Arial"/>
          <w:sz w:val="24"/>
          <w:szCs w:val="24"/>
        </w:rPr>
        <w:t>。</w:t>
      </w:r>
    </w:p>
    <w:p>
      <w:pPr>
        <w:spacing w:line="360" w:lineRule="auto"/>
        <w:rPr>
          <w:rFonts w:ascii="Arial" w:hAnsi="Arial" w:cs="Arial"/>
          <w:sz w:val="24"/>
          <w:szCs w:val="24"/>
        </w:rPr>
      </w:pPr>
      <w:r>
        <w:rPr>
          <w:rFonts w:hint="eastAsia" w:ascii="Arial" w:hAnsi="Arial" w:cs="Arial"/>
          <w:sz w:val="24"/>
          <w:szCs w:val="24"/>
        </w:rPr>
        <w:t>9.1.29 中心支撑受压杆件的宽厚比不应超过下列数值：</w:t>
      </w:r>
    </w:p>
    <w:p>
      <w:pPr>
        <w:spacing w:line="360" w:lineRule="auto"/>
        <w:ind w:firstLine="420" w:firstLineChars="175"/>
        <w:rPr>
          <w:rFonts w:hAnsi="Cambria Math" w:cs="Arial"/>
          <w:sz w:val="24"/>
          <w:szCs w:val="24"/>
        </w:rPr>
      </w:pPr>
      <w:r>
        <w:rPr>
          <w:rFonts w:hint="eastAsia" w:ascii="Arial" w:hAnsi="Arial" w:cs="Arial"/>
          <w:sz w:val="24"/>
          <w:szCs w:val="24"/>
        </w:rPr>
        <w:t>翼缘外伸部分：  13</w:t>
      </w:r>
      <m:oMath>
        <m:rad>
          <m:radPr>
            <m:degHide m:val="true"/>
            <m:ctrlPr>
              <w:rPr>
                <w:rFonts w:ascii="Cambria Math" w:hAnsi="Cambria Math" w:cs="Arial"/>
                <w:i/>
                <w:sz w:val="24"/>
                <w:szCs w:val="24"/>
              </w:rPr>
            </m:ctrlPr>
          </m:radPr>
          <m:deg>
            <m:ctrlPr>
              <w:rPr>
                <w:rFonts w:ascii="Cambria Math" w:hAnsi="Cambria Math" w:cs="Arial"/>
                <w:i/>
                <w:sz w:val="24"/>
                <w:szCs w:val="24"/>
              </w:rPr>
            </m:ctrlPr>
          </m:deg>
          <m:e>
            <m:r>
              <m:rPr/>
              <w:rPr>
                <w:rFonts w:hint="eastAsia" w:ascii="Cambria Math" w:hAnsi="Cambria Math" w:cs="Arial"/>
                <w:sz w:val="24"/>
                <w:szCs w:val="24"/>
              </w:rPr>
              <m:t>235/</m:t>
            </m:r>
            <m:sSub>
              <m:sSubPr>
                <m:ctrlPr>
                  <w:rPr>
                    <w:rFonts w:hint="eastAsia" w:ascii="Cambria Math" w:hAnsi="Cambria Math" w:cs="Arial"/>
                    <w:i/>
                    <w:sz w:val="24"/>
                    <w:szCs w:val="24"/>
                  </w:rPr>
                </m:ctrlPr>
              </m:sSubPr>
              <m:e>
                <m:r>
                  <m:rPr/>
                  <w:rPr>
                    <w:rFonts w:ascii="Cambria Math" w:hAnsi="Cambria Math" w:cs="Arial"/>
                    <w:sz w:val="24"/>
                    <w:szCs w:val="24"/>
                  </w:rPr>
                  <m:t>f</m:t>
                </m:r>
                <m:ctrlPr>
                  <w:rPr>
                    <w:rFonts w:hint="eastAsia" w:ascii="Cambria Math" w:hAnsi="Cambria Math" w:cs="Arial"/>
                    <w:i/>
                    <w:sz w:val="24"/>
                    <w:szCs w:val="24"/>
                  </w:rPr>
                </m:ctrlPr>
              </m:e>
              <m:sub>
                <m:r>
                  <m:rPr/>
                  <w:rPr>
                    <w:rFonts w:ascii="Cambria Math" w:hAnsi="Cambria Math" w:cs="Arial"/>
                    <w:sz w:val="24"/>
                    <w:szCs w:val="24"/>
                  </w:rPr>
                  <m:t>ay</m:t>
                </m:r>
                <m:ctrlPr>
                  <w:rPr>
                    <w:rFonts w:hint="eastAsia" w:ascii="Cambria Math" w:hAnsi="Cambria Math" w:cs="Arial"/>
                    <w:i/>
                    <w:sz w:val="24"/>
                    <w:szCs w:val="24"/>
                  </w:rPr>
                </m:ctrlPr>
              </m:sub>
            </m:sSub>
            <m:ctrlPr>
              <w:rPr>
                <w:rFonts w:ascii="Cambria Math" w:hAnsi="Cambria Math" w:cs="Arial"/>
                <w:i/>
                <w:sz w:val="24"/>
                <w:szCs w:val="24"/>
              </w:rPr>
            </m:ctrlPr>
          </m:e>
        </m:rad>
      </m:oMath>
    </w:p>
    <w:p>
      <w:pPr>
        <w:spacing w:line="360" w:lineRule="auto"/>
        <w:ind w:firstLine="420" w:firstLineChars="175"/>
        <w:rPr>
          <w:rFonts w:hAnsi="Cambria Math" w:cs="Arial"/>
          <w:sz w:val="24"/>
          <w:szCs w:val="24"/>
        </w:rPr>
      </w:pPr>
      <w:r>
        <w:rPr>
          <w:rFonts w:hint="eastAsia" w:ascii="Arial" w:hAnsi="Arial" w:cs="Arial"/>
          <w:sz w:val="24"/>
          <w:szCs w:val="24"/>
        </w:rPr>
        <w:t>工字形截面腹板：33</w:t>
      </w:r>
      <m:oMath>
        <m:rad>
          <m:radPr>
            <m:degHide m:val="true"/>
            <m:ctrlPr>
              <w:rPr>
                <w:rFonts w:ascii="Cambria Math" w:hAnsi="Cambria Math" w:cs="Arial"/>
                <w:i/>
                <w:sz w:val="24"/>
                <w:szCs w:val="24"/>
              </w:rPr>
            </m:ctrlPr>
          </m:radPr>
          <m:deg>
            <m:ctrlPr>
              <w:rPr>
                <w:rFonts w:ascii="Cambria Math" w:hAnsi="Cambria Math" w:cs="Arial"/>
                <w:i/>
                <w:sz w:val="24"/>
                <w:szCs w:val="24"/>
              </w:rPr>
            </m:ctrlPr>
          </m:deg>
          <m:e>
            <m:r>
              <m:rPr/>
              <w:rPr>
                <w:rFonts w:hint="eastAsia" w:ascii="Cambria Math" w:hAnsi="Cambria Math" w:cs="Arial"/>
                <w:sz w:val="24"/>
                <w:szCs w:val="24"/>
              </w:rPr>
              <m:t>235/</m:t>
            </m:r>
            <m:sSub>
              <m:sSubPr>
                <m:ctrlPr>
                  <w:rPr>
                    <w:rFonts w:hint="eastAsia" w:ascii="Cambria Math" w:hAnsi="Cambria Math" w:cs="Arial"/>
                    <w:i/>
                    <w:sz w:val="24"/>
                    <w:szCs w:val="24"/>
                  </w:rPr>
                </m:ctrlPr>
              </m:sSubPr>
              <m:e>
                <m:r>
                  <m:rPr/>
                  <w:rPr>
                    <w:rFonts w:ascii="Cambria Math" w:hAnsi="Cambria Math" w:cs="Arial"/>
                    <w:sz w:val="24"/>
                    <w:szCs w:val="24"/>
                  </w:rPr>
                  <m:t>f</m:t>
                </m:r>
                <m:ctrlPr>
                  <w:rPr>
                    <w:rFonts w:hint="eastAsia" w:ascii="Cambria Math" w:hAnsi="Cambria Math" w:cs="Arial"/>
                    <w:i/>
                    <w:sz w:val="24"/>
                    <w:szCs w:val="24"/>
                  </w:rPr>
                </m:ctrlPr>
              </m:e>
              <m:sub>
                <m:r>
                  <m:rPr/>
                  <w:rPr>
                    <w:rFonts w:ascii="Cambria Math" w:hAnsi="Cambria Math" w:cs="Arial"/>
                    <w:sz w:val="24"/>
                    <w:szCs w:val="24"/>
                  </w:rPr>
                  <m:t>ay</m:t>
                </m:r>
                <m:ctrlPr>
                  <w:rPr>
                    <w:rFonts w:hint="eastAsia" w:ascii="Cambria Math" w:hAnsi="Cambria Math" w:cs="Arial"/>
                    <w:i/>
                    <w:sz w:val="24"/>
                    <w:szCs w:val="24"/>
                  </w:rPr>
                </m:ctrlPr>
              </m:sub>
            </m:sSub>
            <m:ctrlPr>
              <w:rPr>
                <w:rFonts w:ascii="Cambria Math" w:hAnsi="Cambria Math" w:cs="Arial"/>
                <w:i/>
                <w:sz w:val="24"/>
                <w:szCs w:val="24"/>
              </w:rPr>
            </m:ctrlPr>
          </m:e>
        </m:rad>
      </m:oMath>
    </w:p>
    <w:p>
      <w:pPr>
        <w:spacing w:line="360" w:lineRule="auto"/>
        <w:ind w:firstLine="420" w:firstLineChars="175"/>
        <w:rPr>
          <w:rFonts w:hAnsi="Cambria Math" w:cs="Arial"/>
          <w:sz w:val="24"/>
          <w:szCs w:val="24"/>
        </w:rPr>
      </w:pPr>
      <w:r>
        <w:rPr>
          <w:rFonts w:hint="eastAsia" w:ascii="Arial" w:hAnsi="Arial" w:cs="Arial"/>
          <w:sz w:val="24"/>
          <w:szCs w:val="24"/>
        </w:rPr>
        <w:t>箱形截面腹板：  30</w:t>
      </w:r>
      <m:oMath>
        <m:rad>
          <m:radPr>
            <m:degHide m:val="true"/>
            <m:ctrlPr>
              <w:rPr>
                <w:rFonts w:ascii="Cambria Math" w:hAnsi="Cambria Math" w:cs="Arial"/>
                <w:i/>
                <w:sz w:val="24"/>
                <w:szCs w:val="24"/>
              </w:rPr>
            </m:ctrlPr>
          </m:radPr>
          <m:deg>
            <m:ctrlPr>
              <w:rPr>
                <w:rFonts w:ascii="Cambria Math" w:hAnsi="Cambria Math" w:cs="Arial"/>
                <w:i/>
                <w:sz w:val="24"/>
                <w:szCs w:val="24"/>
              </w:rPr>
            </m:ctrlPr>
          </m:deg>
          <m:e>
            <m:r>
              <m:rPr/>
              <w:rPr>
                <w:rFonts w:hint="eastAsia" w:ascii="Cambria Math" w:hAnsi="Cambria Math" w:cs="Arial"/>
                <w:sz w:val="24"/>
                <w:szCs w:val="24"/>
              </w:rPr>
              <m:t>235/</m:t>
            </m:r>
            <m:sSub>
              <m:sSubPr>
                <m:ctrlPr>
                  <w:rPr>
                    <w:rFonts w:hint="eastAsia" w:ascii="Cambria Math" w:hAnsi="Cambria Math" w:cs="Arial"/>
                    <w:i/>
                    <w:sz w:val="24"/>
                    <w:szCs w:val="24"/>
                  </w:rPr>
                </m:ctrlPr>
              </m:sSubPr>
              <m:e>
                <m:r>
                  <m:rPr/>
                  <w:rPr>
                    <w:rFonts w:ascii="Cambria Math" w:hAnsi="Cambria Math" w:cs="Arial"/>
                    <w:sz w:val="24"/>
                    <w:szCs w:val="24"/>
                  </w:rPr>
                  <m:t>f</m:t>
                </m:r>
                <m:ctrlPr>
                  <w:rPr>
                    <w:rFonts w:hint="eastAsia" w:ascii="Cambria Math" w:hAnsi="Cambria Math" w:cs="Arial"/>
                    <w:i/>
                    <w:sz w:val="24"/>
                    <w:szCs w:val="24"/>
                  </w:rPr>
                </m:ctrlPr>
              </m:e>
              <m:sub>
                <m:r>
                  <m:rPr/>
                  <w:rPr>
                    <w:rFonts w:ascii="Cambria Math" w:hAnsi="Cambria Math" w:cs="Arial"/>
                    <w:sz w:val="24"/>
                    <w:szCs w:val="24"/>
                  </w:rPr>
                  <m:t>ay</m:t>
                </m:r>
                <m:ctrlPr>
                  <w:rPr>
                    <w:rFonts w:hint="eastAsia" w:ascii="Cambria Math" w:hAnsi="Cambria Math" w:cs="Arial"/>
                    <w:i/>
                    <w:sz w:val="24"/>
                    <w:szCs w:val="24"/>
                  </w:rPr>
                </m:ctrlPr>
              </m:sub>
            </m:sSub>
            <m:ctrlPr>
              <w:rPr>
                <w:rFonts w:ascii="Cambria Math" w:hAnsi="Cambria Math" w:cs="Arial"/>
                <w:i/>
                <w:sz w:val="24"/>
                <w:szCs w:val="24"/>
              </w:rPr>
            </m:ctrlPr>
          </m:e>
        </m:rad>
      </m:oMath>
    </w:p>
    <w:p>
      <w:pPr>
        <w:spacing w:line="360" w:lineRule="auto"/>
        <w:rPr>
          <w:rFonts w:ascii="Arial" w:hAnsi="Arial" w:cs="Arial"/>
          <w:sz w:val="24"/>
          <w:szCs w:val="24"/>
        </w:rPr>
      </w:pPr>
      <w:r>
        <w:rPr>
          <w:rFonts w:ascii="Arial" w:hAnsi="Arial" w:cs="Arial"/>
          <w:sz w:val="24"/>
          <w:szCs w:val="24"/>
        </w:rPr>
        <w:t>9.1.30 中心支撑节点的构造应符合下列要求：</w:t>
      </w:r>
    </w:p>
    <w:p>
      <w:pPr>
        <w:spacing w:line="360" w:lineRule="auto"/>
        <w:ind w:firstLine="480" w:firstLineChars="200"/>
        <w:rPr>
          <w:rFonts w:ascii="Arial" w:hAnsi="Arial" w:cs="Arial"/>
          <w:kern w:val="0"/>
          <w:sz w:val="24"/>
          <w:szCs w:val="24"/>
        </w:rPr>
      </w:pPr>
      <w:r>
        <w:rPr>
          <w:rFonts w:ascii="Arial" w:hAnsi="Arial" w:cs="Arial"/>
          <w:kern w:val="0"/>
          <w:sz w:val="24"/>
          <w:szCs w:val="24"/>
        </w:rPr>
        <w:t>2 梁在其与V形支撑或人字支撑相交处，应设置侧向支承；该支承点与梁端支承点间的侧向长细比（λ</w:t>
      </w:r>
      <w:r>
        <w:rPr>
          <w:rFonts w:ascii="Arial" w:hAnsi="Arial" w:cs="Arial"/>
          <w:kern w:val="0"/>
          <w:sz w:val="24"/>
          <w:szCs w:val="24"/>
          <w:vertAlign w:val="subscript"/>
        </w:rPr>
        <w:t>y</w:t>
      </w:r>
      <w:r>
        <w:rPr>
          <w:rFonts w:ascii="Arial" w:hAnsi="Arial" w:cs="Arial"/>
          <w:kern w:val="0"/>
          <w:sz w:val="24"/>
          <w:szCs w:val="24"/>
        </w:rPr>
        <w:t>）以及支承力，应符合现行国家标准《钢结构设计规范》（GB50017）关于塑性设计的规定。</w:t>
      </w:r>
    </w:p>
    <w:p>
      <w:pPr>
        <w:spacing w:line="360" w:lineRule="auto"/>
        <w:ind w:firstLine="480" w:firstLineChars="200"/>
        <w:rPr>
          <w:rFonts w:ascii="Arial" w:hAnsi="Arial" w:cs="Arial"/>
          <w:kern w:val="0"/>
          <w:sz w:val="24"/>
          <w:szCs w:val="24"/>
        </w:rPr>
      </w:pPr>
      <w:r>
        <w:rPr>
          <w:rFonts w:ascii="Arial" w:hAnsi="Arial" w:cs="Arial"/>
          <w:kern w:val="0"/>
          <w:sz w:val="24"/>
          <w:szCs w:val="24"/>
        </w:rPr>
        <w:t>3 若支撑和框架采用节点板连接，应符合现行国家标准《钢结构设计规范》（GB50017）关于节点板在连接杆件每侧有不小于30°夹角的规定；支撑端部至节点板最近嵌固点在沿支撑杆件方向的距离（由节点板与框架构件焊缝的起点垂直于支撑杆轴线的直线至支撑端部的距离），不应小于节点板厚度的2倍。</w:t>
      </w:r>
    </w:p>
    <w:p>
      <w:pPr>
        <w:spacing w:line="360" w:lineRule="auto"/>
        <w:rPr>
          <w:rFonts w:ascii="Arial" w:hAnsi="Arial" w:cs="Arial"/>
          <w:sz w:val="24"/>
          <w:szCs w:val="24"/>
        </w:rPr>
      </w:pPr>
      <w:r>
        <w:rPr>
          <w:rFonts w:ascii="Arial" w:hAnsi="Arial" w:cs="Arial"/>
          <w:sz w:val="24"/>
          <w:szCs w:val="24"/>
        </w:rPr>
        <w:t>9.1.32 偏心支撑框架的支撑杆件的长细比不应大于</w:t>
      </w:r>
      <w:r>
        <w:rPr>
          <w:rFonts w:ascii="Arial" w:hAnsi="Arial" w:cs="Arial"/>
          <w:sz w:val="24"/>
          <w:szCs w:val="24"/>
        </w:rPr>
        <w:drawing>
          <wp:inline distT="0" distB="0" distL="0" distR="0">
            <wp:extent cx="858520" cy="182880"/>
            <wp:effectExtent l="19050" t="0" r="0" b="0"/>
            <wp:docPr id="55" name="图片 6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69"/>
                    <pic:cNvPicPr>
                      <a:picLocks noChangeAspect="true" noChangeArrowheads="true"/>
                    </pic:cNvPicPr>
                  </pic:nvPicPr>
                  <pic:blipFill>
                    <a:blip r:embed="rId74"/>
                    <a:srcRect/>
                    <a:stretch>
                      <a:fillRect/>
                    </a:stretch>
                  </pic:blipFill>
                  <pic:spPr>
                    <a:xfrm>
                      <a:off x="0" y="0"/>
                      <a:ext cx="858520" cy="182880"/>
                    </a:xfrm>
                    <a:prstGeom prst="rect">
                      <a:avLst/>
                    </a:prstGeom>
                    <a:noFill/>
                    <a:ln w="9525">
                      <a:noFill/>
                      <a:miter lim="800000"/>
                      <a:headEnd/>
                      <a:tailEnd/>
                    </a:ln>
                  </pic:spPr>
                </pic:pic>
              </a:graphicData>
            </a:graphic>
          </wp:inline>
        </w:drawing>
      </w:r>
      <w:r>
        <w:rPr>
          <w:rFonts w:ascii="Arial" w:hAnsi="Arial" w:cs="Arial"/>
          <w:sz w:val="24"/>
          <w:szCs w:val="24"/>
        </w:rPr>
        <w:t>，支撑杆件的板件宽厚比不应超过国家标准《钢结构设计规范》（GB50017）规定的轴心受压构件在弹性设计时的宽厚比限值。</w:t>
      </w:r>
    </w:p>
    <w:p>
      <w:pPr>
        <w:spacing w:line="360" w:lineRule="auto"/>
        <w:rPr>
          <w:rFonts w:ascii="Arial" w:hAnsi="Arial" w:cs="Arial"/>
          <w:sz w:val="24"/>
          <w:szCs w:val="24"/>
        </w:rPr>
      </w:pPr>
      <w:r>
        <w:rPr>
          <w:rFonts w:hint="eastAsia" w:ascii="Arial" w:hAnsi="Arial" w:cs="Arial"/>
          <w:sz w:val="24"/>
          <w:szCs w:val="24"/>
        </w:rPr>
        <w:t>11.1.12</w:t>
      </w:r>
      <w:r>
        <w:rPr>
          <w:rFonts w:ascii="Arial" w:hAnsi="Arial" w:cs="Arial"/>
          <w:sz w:val="24"/>
          <w:szCs w:val="24"/>
        </w:rPr>
        <w:t xml:space="preserve"> </w:t>
      </w:r>
      <w:r>
        <w:rPr>
          <w:rFonts w:hint="eastAsia" w:ascii="Arial" w:hAnsi="Arial" w:cs="Arial"/>
          <w:sz w:val="24"/>
          <w:szCs w:val="24"/>
        </w:rPr>
        <w:t>高大山墙的壁柱应进行平面外的截面抗震验算。</w:t>
      </w:r>
    </w:p>
    <w:p>
      <w:pPr>
        <w:spacing w:line="360" w:lineRule="auto"/>
        <w:rPr>
          <w:rFonts w:ascii="Arial" w:hAnsi="Arial" w:cs="Arial"/>
          <w:sz w:val="24"/>
          <w:szCs w:val="24"/>
        </w:rPr>
      </w:pPr>
      <w:r>
        <w:rPr>
          <w:rFonts w:ascii="Arial" w:hAnsi="Arial" w:cs="Arial"/>
          <w:sz w:val="24"/>
          <w:szCs w:val="24"/>
        </w:rPr>
        <w:t>11.2.17 （大跨度屋盖建筑）支座的抗震构造应符合下列要求：</w:t>
      </w:r>
    </w:p>
    <w:p>
      <w:pPr>
        <w:spacing w:line="360" w:lineRule="auto"/>
        <w:ind w:firstLine="480" w:firstLineChars="200"/>
        <w:rPr>
          <w:rFonts w:ascii="Arial" w:hAnsi="Arial" w:cs="Arial"/>
          <w:kern w:val="0"/>
          <w:sz w:val="24"/>
          <w:szCs w:val="24"/>
        </w:rPr>
      </w:pPr>
      <w:r>
        <w:rPr>
          <w:rFonts w:ascii="Arial" w:hAnsi="Arial" w:cs="Arial"/>
          <w:kern w:val="0"/>
          <w:sz w:val="24"/>
          <w:szCs w:val="24"/>
        </w:rPr>
        <w:t>1 应具有足够的强度和刚度，在荷载作用下不应先于杆件和其他节点破坏，也不应产生不可忽略的变形。支座节点构造形式应传力可靠、连接简单，并符合计算假定。</w:t>
      </w:r>
    </w:p>
    <w:p>
      <w:pPr>
        <w:spacing w:line="360" w:lineRule="auto"/>
        <w:ind w:firstLine="480" w:firstLineChars="200"/>
        <w:rPr>
          <w:rFonts w:ascii="Arial" w:hAnsi="Arial" w:cs="Arial"/>
          <w:kern w:val="0"/>
          <w:sz w:val="24"/>
          <w:szCs w:val="24"/>
        </w:rPr>
      </w:pPr>
      <w:r>
        <w:rPr>
          <w:rFonts w:ascii="Arial" w:hAnsi="Arial" w:cs="Arial"/>
          <w:kern w:val="0"/>
          <w:sz w:val="24"/>
          <w:szCs w:val="24"/>
        </w:rPr>
        <w:t>2 对于水平可滑动的支座，应保证屋盖在罕遇地震下的滑移不超出支承面，并应采取限位措施。</w:t>
      </w:r>
    </w:p>
    <w:p>
      <w:pPr>
        <w:spacing w:line="360" w:lineRule="auto"/>
        <w:ind w:firstLine="480" w:firstLineChars="200"/>
        <w:rPr>
          <w:rFonts w:ascii="Arial" w:hAnsi="Arial" w:cs="Arial"/>
          <w:kern w:val="0"/>
          <w:sz w:val="24"/>
          <w:szCs w:val="24"/>
        </w:rPr>
      </w:pPr>
      <w:r>
        <w:rPr>
          <w:rFonts w:ascii="Arial" w:hAnsi="Arial" w:cs="Arial"/>
          <w:kern w:val="0"/>
          <w:sz w:val="24"/>
          <w:szCs w:val="24"/>
        </w:rPr>
        <w:t>3  8度时，多遇地震下只承受竖向压力的支座，宜采用拉压型构造。</w:t>
      </w:r>
    </w:p>
    <w:p>
      <w:pPr>
        <w:widowControl/>
        <w:spacing w:before="156" w:beforeLines="50" w:after="156" w:afterLines="50"/>
        <w:ind w:right="420" w:rightChars="200"/>
        <w:jc w:val="left"/>
        <w:rPr>
          <w:rFonts w:ascii="Arial" w:hAnsi="Arial" w:cs="Arial"/>
        </w:rPr>
        <w:sectPr>
          <w:headerReference r:id="rId9" w:type="default"/>
          <w:footerReference r:id="rId10" w:type="default"/>
          <w:pgSz w:w="11906" w:h="16838"/>
          <w:pgMar w:top="1440" w:right="1800" w:bottom="1440" w:left="1800" w:header="851" w:footer="992" w:gutter="0"/>
          <w:pgNumType w:fmt="decimal" w:start="1"/>
          <w:cols w:space="425" w:num="1"/>
          <w:docGrid w:type="lines" w:linePitch="312" w:charSpace="0"/>
        </w:sectPr>
      </w:pPr>
    </w:p>
    <w:p>
      <w:pPr>
        <w:pStyle w:val="3"/>
        <w:numPr>
          <w:ilvl w:val="0"/>
          <w:numId w:val="0"/>
        </w:numPr>
        <w:spacing w:beforeLines="0"/>
      </w:pPr>
      <w:bookmarkStart w:id="36" w:name="_Toc118119910"/>
      <w:r>
        <w:rPr>
          <w:rFonts w:hint="eastAsia"/>
        </w:rPr>
        <w:t>2</w:t>
      </w:r>
      <w:r>
        <w:t>.4 引用标准名录及条款号</w:t>
      </w:r>
      <w:bookmarkEnd w:id="36"/>
    </w:p>
    <w:p>
      <w:pPr>
        <w:pStyle w:val="78"/>
        <w:numPr>
          <w:ilvl w:val="0"/>
          <w:numId w:val="23"/>
        </w:numPr>
        <w:spacing w:line="360" w:lineRule="auto"/>
        <w:ind w:firstLineChars="0"/>
        <w:rPr>
          <w:rFonts w:ascii="Arial" w:hAnsi="Arial" w:cs="Arial"/>
          <w:kern w:val="0"/>
          <w:sz w:val="24"/>
          <w:szCs w:val="24"/>
        </w:rPr>
      </w:pPr>
      <w:r>
        <w:rPr>
          <w:rFonts w:ascii="Arial" w:hAnsi="Arial" w:cs="Arial"/>
          <w:kern w:val="0"/>
          <w:sz w:val="24"/>
          <w:szCs w:val="24"/>
        </w:rPr>
        <w:t>《地基基础设计标准》DGJ 08-11-2018</w:t>
      </w:r>
    </w:p>
    <w:p>
      <w:pPr>
        <w:spacing w:line="360" w:lineRule="auto"/>
        <w:ind w:left="105" w:leftChars="50"/>
        <w:rPr>
          <w:rFonts w:ascii="Arial" w:hAnsi="Arial" w:cs="Arial"/>
          <w:kern w:val="0"/>
          <w:sz w:val="24"/>
          <w:szCs w:val="24"/>
        </w:rPr>
      </w:pPr>
      <w:r>
        <w:rPr>
          <w:rFonts w:ascii="Arial" w:hAnsi="Arial" w:cs="Arial"/>
          <w:kern w:val="0"/>
          <w:sz w:val="24"/>
          <w:szCs w:val="24"/>
        </w:rPr>
        <w:t>3.0.4、</w:t>
      </w:r>
      <w:r>
        <w:rPr>
          <w:rFonts w:hint="eastAsia" w:ascii="Arial" w:hAnsi="Arial" w:cs="Arial"/>
          <w:kern w:val="0"/>
          <w:sz w:val="24"/>
          <w:szCs w:val="24"/>
        </w:rPr>
        <w:t>3</w:t>
      </w:r>
      <w:r>
        <w:rPr>
          <w:rFonts w:ascii="Arial" w:hAnsi="Arial" w:cs="Arial"/>
          <w:kern w:val="0"/>
          <w:sz w:val="24"/>
          <w:szCs w:val="24"/>
        </w:rPr>
        <w:t>.0.5、</w:t>
      </w:r>
      <w:r>
        <w:rPr>
          <w:rFonts w:hint="eastAsia" w:ascii="Arial" w:hAnsi="Arial" w:cs="Arial"/>
          <w:kern w:val="0"/>
          <w:sz w:val="24"/>
          <w:szCs w:val="24"/>
        </w:rPr>
        <w:t>5</w:t>
      </w:r>
      <w:r>
        <w:rPr>
          <w:rFonts w:ascii="Arial" w:hAnsi="Arial" w:cs="Arial"/>
          <w:kern w:val="0"/>
          <w:sz w:val="24"/>
          <w:szCs w:val="24"/>
        </w:rPr>
        <w:t>.2.1、</w:t>
      </w:r>
      <w:r>
        <w:rPr>
          <w:rFonts w:hint="eastAsia" w:ascii="Arial" w:hAnsi="Arial" w:cs="Arial"/>
          <w:kern w:val="0"/>
          <w:sz w:val="24"/>
          <w:szCs w:val="24"/>
        </w:rPr>
        <w:t>5</w:t>
      </w:r>
      <w:r>
        <w:rPr>
          <w:rFonts w:ascii="Arial" w:hAnsi="Arial" w:cs="Arial"/>
          <w:kern w:val="0"/>
          <w:sz w:val="24"/>
          <w:szCs w:val="24"/>
        </w:rPr>
        <w:t>.2.3、</w:t>
      </w:r>
      <w:r>
        <w:rPr>
          <w:rFonts w:hint="eastAsia" w:ascii="Arial" w:hAnsi="Arial" w:cs="Arial"/>
          <w:kern w:val="0"/>
          <w:sz w:val="24"/>
          <w:szCs w:val="24"/>
        </w:rPr>
        <w:t>5</w:t>
      </w:r>
      <w:r>
        <w:rPr>
          <w:rFonts w:ascii="Arial" w:hAnsi="Arial" w:cs="Arial"/>
          <w:kern w:val="0"/>
          <w:sz w:val="24"/>
          <w:szCs w:val="24"/>
        </w:rPr>
        <w:t>.2.4、</w:t>
      </w:r>
      <w:r>
        <w:rPr>
          <w:rFonts w:hint="eastAsia" w:ascii="Arial" w:hAnsi="Arial" w:cs="Arial"/>
          <w:kern w:val="0"/>
          <w:sz w:val="24"/>
          <w:szCs w:val="24"/>
        </w:rPr>
        <w:t>5</w:t>
      </w:r>
      <w:r>
        <w:rPr>
          <w:rFonts w:ascii="Arial" w:hAnsi="Arial" w:cs="Arial"/>
          <w:kern w:val="0"/>
          <w:sz w:val="24"/>
          <w:szCs w:val="24"/>
        </w:rPr>
        <w:t>.3.6、</w:t>
      </w:r>
      <w:r>
        <w:rPr>
          <w:rFonts w:hint="eastAsia" w:ascii="Arial" w:hAnsi="Arial" w:cs="Arial"/>
          <w:kern w:val="0"/>
          <w:sz w:val="24"/>
          <w:szCs w:val="24"/>
        </w:rPr>
        <w:t>6</w:t>
      </w:r>
      <w:r>
        <w:rPr>
          <w:rFonts w:ascii="Arial" w:hAnsi="Arial" w:cs="Arial"/>
          <w:kern w:val="0"/>
          <w:sz w:val="24"/>
          <w:szCs w:val="24"/>
        </w:rPr>
        <w:t>.2.2、</w:t>
      </w:r>
      <w:r>
        <w:rPr>
          <w:rFonts w:hint="eastAsia" w:ascii="Arial" w:hAnsi="Arial" w:cs="Arial"/>
          <w:kern w:val="0"/>
          <w:sz w:val="24"/>
          <w:szCs w:val="24"/>
        </w:rPr>
        <w:t>6</w:t>
      </w:r>
      <w:r>
        <w:rPr>
          <w:rFonts w:ascii="Arial" w:hAnsi="Arial" w:cs="Arial"/>
          <w:kern w:val="0"/>
          <w:sz w:val="24"/>
          <w:szCs w:val="24"/>
        </w:rPr>
        <w:t>.4.5、</w:t>
      </w:r>
      <w:r>
        <w:rPr>
          <w:rFonts w:hint="eastAsia" w:ascii="Arial" w:hAnsi="Arial" w:cs="Arial"/>
          <w:kern w:val="0"/>
          <w:sz w:val="24"/>
          <w:szCs w:val="24"/>
        </w:rPr>
        <w:t>6</w:t>
      </w:r>
      <w:r>
        <w:rPr>
          <w:rFonts w:ascii="Arial" w:hAnsi="Arial" w:cs="Arial"/>
          <w:kern w:val="0"/>
          <w:sz w:val="24"/>
          <w:szCs w:val="24"/>
        </w:rPr>
        <w:t>.4.6、</w:t>
      </w:r>
      <w:r>
        <w:rPr>
          <w:rFonts w:hint="eastAsia" w:ascii="Arial" w:hAnsi="Arial" w:cs="Arial"/>
          <w:kern w:val="0"/>
          <w:sz w:val="24"/>
          <w:szCs w:val="24"/>
        </w:rPr>
        <w:t>6</w:t>
      </w:r>
      <w:r>
        <w:rPr>
          <w:rFonts w:ascii="Arial" w:hAnsi="Arial" w:cs="Arial"/>
          <w:kern w:val="0"/>
          <w:sz w:val="24"/>
          <w:szCs w:val="24"/>
        </w:rPr>
        <w:t>.5.3、</w:t>
      </w:r>
      <w:r>
        <w:rPr>
          <w:rFonts w:hint="eastAsia" w:ascii="Arial" w:hAnsi="Arial" w:cs="Arial"/>
          <w:kern w:val="0"/>
          <w:sz w:val="24"/>
          <w:szCs w:val="24"/>
        </w:rPr>
        <w:t>6</w:t>
      </w:r>
      <w:r>
        <w:rPr>
          <w:rFonts w:ascii="Arial" w:hAnsi="Arial" w:cs="Arial"/>
          <w:kern w:val="0"/>
          <w:sz w:val="24"/>
          <w:szCs w:val="24"/>
        </w:rPr>
        <w:t>.6.2、</w:t>
      </w:r>
      <w:r>
        <w:rPr>
          <w:rFonts w:hint="eastAsia" w:ascii="Arial" w:hAnsi="Arial" w:cs="Arial"/>
          <w:kern w:val="0"/>
          <w:sz w:val="24"/>
          <w:szCs w:val="24"/>
        </w:rPr>
        <w:t>6</w:t>
      </w:r>
      <w:r>
        <w:rPr>
          <w:rFonts w:ascii="Arial" w:hAnsi="Arial" w:cs="Arial"/>
          <w:kern w:val="0"/>
          <w:sz w:val="24"/>
          <w:szCs w:val="24"/>
        </w:rPr>
        <w:t>.6.3、</w:t>
      </w:r>
      <w:r>
        <w:rPr>
          <w:rFonts w:hint="eastAsia" w:ascii="Arial" w:hAnsi="Arial" w:cs="Arial"/>
          <w:kern w:val="0"/>
          <w:sz w:val="24"/>
          <w:szCs w:val="24"/>
        </w:rPr>
        <w:t>6</w:t>
      </w:r>
      <w:r>
        <w:rPr>
          <w:rFonts w:ascii="Arial" w:hAnsi="Arial" w:cs="Arial"/>
          <w:kern w:val="0"/>
          <w:sz w:val="24"/>
          <w:szCs w:val="24"/>
        </w:rPr>
        <w:t>.6.6、</w:t>
      </w:r>
      <w:r>
        <w:rPr>
          <w:rFonts w:hint="eastAsia" w:ascii="Arial" w:hAnsi="Arial" w:cs="Arial"/>
          <w:kern w:val="0"/>
          <w:sz w:val="24"/>
          <w:szCs w:val="24"/>
        </w:rPr>
        <w:t>7</w:t>
      </w:r>
      <w:r>
        <w:rPr>
          <w:rFonts w:ascii="Arial" w:hAnsi="Arial" w:cs="Arial"/>
          <w:kern w:val="0"/>
          <w:sz w:val="24"/>
          <w:szCs w:val="24"/>
        </w:rPr>
        <w:t>.1.4、</w:t>
      </w:r>
      <w:r>
        <w:rPr>
          <w:rFonts w:hint="eastAsia" w:ascii="Arial" w:hAnsi="Arial" w:cs="Arial"/>
          <w:kern w:val="0"/>
          <w:sz w:val="24"/>
          <w:szCs w:val="24"/>
        </w:rPr>
        <w:t>7</w:t>
      </w:r>
      <w:r>
        <w:rPr>
          <w:rFonts w:ascii="Arial" w:hAnsi="Arial" w:cs="Arial"/>
          <w:kern w:val="0"/>
          <w:sz w:val="24"/>
          <w:szCs w:val="24"/>
        </w:rPr>
        <w:t>.1.5、</w:t>
      </w:r>
      <w:r>
        <w:rPr>
          <w:rFonts w:hint="eastAsia" w:ascii="Arial" w:hAnsi="Arial" w:cs="Arial"/>
          <w:kern w:val="0"/>
          <w:sz w:val="24"/>
          <w:szCs w:val="24"/>
        </w:rPr>
        <w:t>7</w:t>
      </w:r>
      <w:r>
        <w:rPr>
          <w:rFonts w:ascii="Arial" w:hAnsi="Arial" w:cs="Arial"/>
          <w:kern w:val="0"/>
          <w:sz w:val="24"/>
          <w:szCs w:val="24"/>
        </w:rPr>
        <w:t>.1.10、</w:t>
      </w:r>
      <w:r>
        <w:rPr>
          <w:rFonts w:hint="eastAsia" w:ascii="Arial" w:hAnsi="Arial" w:cs="Arial"/>
          <w:kern w:val="0"/>
          <w:sz w:val="24"/>
          <w:szCs w:val="24"/>
        </w:rPr>
        <w:t>7</w:t>
      </w:r>
      <w:r>
        <w:rPr>
          <w:rFonts w:ascii="Arial" w:hAnsi="Arial" w:cs="Arial"/>
          <w:kern w:val="0"/>
          <w:sz w:val="24"/>
          <w:szCs w:val="24"/>
        </w:rPr>
        <w:t>.1.11、</w:t>
      </w:r>
      <w:r>
        <w:rPr>
          <w:rFonts w:hint="eastAsia" w:ascii="Arial" w:hAnsi="Arial" w:cs="Arial"/>
          <w:kern w:val="0"/>
          <w:sz w:val="24"/>
          <w:szCs w:val="24"/>
        </w:rPr>
        <w:t>7</w:t>
      </w:r>
      <w:r>
        <w:rPr>
          <w:rFonts w:ascii="Arial" w:hAnsi="Arial" w:cs="Arial"/>
          <w:kern w:val="0"/>
          <w:sz w:val="24"/>
          <w:szCs w:val="24"/>
        </w:rPr>
        <w:t>.1.13、</w:t>
      </w:r>
      <w:r>
        <w:rPr>
          <w:rFonts w:hint="eastAsia" w:ascii="Arial" w:hAnsi="Arial" w:cs="Arial"/>
          <w:kern w:val="0"/>
          <w:sz w:val="24"/>
          <w:szCs w:val="24"/>
        </w:rPr>
        <w:t>7</w:t>
      </w:r>
      <w:r>
        <w:rPr>
          <w:rFonts w:ascii="Arial" w:hAnsi="Arial" w:cs="Arial"/>
          <w:kern w:val="0"/>
          <w:sz w:val="24"/>
          <w:szCs w:val="24"/>
        </w:rPr>
        <w:t>.2.1、</w:t>
      </w:r>
      <w:r>
        <w:rPr>
          <w:rFonts w:hint="eastAsia" w:ascii="Arial" w:hAnsi="Arial" w:cs="Arial"/>
          <w:kern w:val="0"/>
          <w:sz w:val="24"/>
          <w:szCs w:val="24"/>
        </w:rPr>
        <w:t>7</w:t>
      </w:r>
      <w:r>
        <w:rPr>
          <w:rFonts w:ascii="Arial" w:hAnsi="Arial" w:cs="Arial"/>
          <w:kern w:val="0"/>
          <w:sz w:val="24"/>
          <w:szCs w:val="24"/>
        </w:rPr>
        <w:t>.2.6、</w:t>
      </w:r>
      <w:r>
        <w:rPr>
          <w:rFonts w:hint="eastAsia" w:ascii="Arial" w:hAnsi="Arial" w:cs="Arial"/>
          <w:kern w:val="0"/>
          <w:sz w:val="24"/>
          <w:szCs w:val="24"/>
        </w:rPr>
        <w:t>7</w:t>
      </w:r>
      <w:r>
        <w:rPr>
          <w:rFonts w:ascii="Arial" w:hAnsi="Arial" w:cs="Arial"/>
          <w:kern w:val="0"/>
          <w:sz w:val="24"/>
          <w:szCs w:val="24"/>
        </w:rPr>
        <w:t>.3.5、</w:t>
      </w:r>
      <w:r>
        <w:rPr>
          <w:rFonts w:hint="eastAsia" w:ascii="Arial" w:hAnsi="Arial" w:cs="Arial"/>
          <w:kern w:val="0"/>
          <w:sz w:val="24"/>
          <w:szCs w:val="24"/>
        </w:rPr>
        <w:t>8</w:t>
      </w:r>
      <w:r>
        <w:rPr>
          <w:rFonts w:ascii="Arial" w:hAnsi="Arial" w:cs="Arial"/>
          <w:kern w:val="0"/>
          <w:sz w:val="24"/>
          <w:szCs w:val="24"/>
        </w:rPr>
        <w:t>.4.2、</w:t>
      </w:r>
      <w:r>
        <w:rPr>
          <w:rFonts w:hint="eastAsia" w:ascii="Arial" w:hAnsi="Arial" w:cs="Arial"/>
          <w:kern w:val="0"/>
          <w:sz w:val="24"/>
          <w:szCs w:val="24"/>
        </w:rPr>
        <w:t>8</w:t>
      </w:r>
      <w:r>
        <w:rPr>
          <w:rFonts w:ascii="Arial" w:hAnsi="Arial" w:cs="Arial"/>
          <w:kern w:val="0"/>
          <w:sz w:val="24"/>
          <w:szCs w:val="24"/>
        </w:rPr>
        <w:t>.4.6、</w:t>
      </w:r>
      <w:r>
        <w:rPr>
          <w:rFonts w:hint="eastAsia" w:ascii="Arial" w:hAnsi="Arial" w:cs="Arial"/>
          <w:kern w:val="0"/>
          <w:sz w:val="24"/>
          <w:szCs w:val="24"/>
        </w:rPr>
        <w:t>8</w:t>
      </w:r>
      <w:r>
        <w:rPr>
          <w:rFonts w:ascii="Arial" w:hAnsi="Arial" w:cs="Arial"/>
          <w:kern w:val="0"/>
          <w:sz w:val="24"/>
          <w:szCs w:val="24"/>
        </w:rPr>
        <w:t>.4.7、</w:t>
      </w:r>
      <w:r>
        <w:rPr>
          <w:rFonts w:hint="eastAsia" w:ascii="Arial" w:hAnsi="Arial" w:cs="Arial"/>
          <w:kern w:val="0"/>
          <w:sz w:val="24"/>
          <w:szCs w:val="24"/>
        </w:rPr>
        <w:t>1</w:t>
      </w:r>
      <w:r>
        <w:rPr>
          <w:rFonts w:ascii="Arial" w:hAnsi="Arial" w:cs="Arial"/>
          <w:kern w:val="0"/>
          <w:sz w:val="24"/>
          <w:szCs w:val="24"/>
        </w:rPr>
        <w:t>0.3.7、</w:t>
      </w:r>
      <w:r>
        <w:rPr>
          <w:rFonts w:hint="eastAsia" w:ascii="Arial" w:hAnsi="Arial" w:cs="Arial"/>
          <w:kern w:val="0"/>
          <w:sz w:val="24"/>
          <w:szCs w:val="24"/>
        </w:rPr>
        <w:t>1</w:t>
      </w:r>
      <w:r>
        <w:rPr>
          <w:rFonts w:ascii="Arial" w:hAnsi="Arial" w:cs="Arial"/>
          <w:kern w:val="0"/>
          <w:sz w:val="24"/>
          <w:szCs w:val="24"/>
        </w:rPr>
        <w:t>0.3.8、</w:t>
      </w:r>
      <w:r>
        <w:rPr>
          <w:rFonts w:hint="eastAsia" w:ascii="Arial" w:hAnsi="Arial" w:cs="Arial"/>
          <w:kern w:val="0"/>
          <w:sz w:val="24"/>
          <w:szCs w:val="24"/>
        </w:rPr>
        <w:t>1</w:t>
      </w:r>
      <w:r>
        <w:rPr>
          <w:rFonts w:ascii="Arial" w:hAnsi="Arial" w:cs="Arial"/>
          <w:kern w:val="0"/>
          <w:sz w:val="24"/>
          <w:szCs w:val="24"/>
        </w:rPr>
        <w:t>2.3.2、</w:t>
      </w:r>
    </w:p>
    <w:p>
      <w:pPr>
        <w:pStyle w:val="78"/>
        <w:numPr>
          <w:ilvl w:val="0"/>
          <w:numId w:val="23"/>
        </w:numPr>
        <w:spacing w:line="360" w:lineRule="auto"/>
        <w:ind w:firstLineChars="0"/>
        <w:rPr>
          <w:rFonts w:ascii="Arial" w:hAnsi="Arial" w:cs="Arial"/>
          <w:kern w:val="0"/>
          <w:sz w:val="24"/>
          <w:szCs w:val="24"/>
        </w:rPr>
      </w:pPr>
      <w:r>
        <w:rPr>
          <w:rFonts w:hint="eastAsia" w:ascii="Arial" w:hAnsi="Arial" w:cs="Arial"/>
          <w:kern w:val="0"/>
          <w:sz w:val="24"/>
          <w:szCs w:val="24"/>
        </w:rPr>
        <w:t>《高层建筑钢-混凝土混合结构设计规程》DG/TJ08-0</w:t>
      </w:r>
      <w:r>
        <w:rPr>
          <w:rFonts w:ascii="Arial" w:hAnsi="Arial" w:cs="Arial"/>
          <w:kern w:val="0"/>
          <w:sz w:val="24"/>
          <w:szCs w:val="24"/>
        </w:rPr>
        <w:t>15</w:t>
      </w:r>
      <w:r>
        <w:rPr>
          <w:rFonts w:hint="eastAsia" w:ascii="Arial" w:hAnsi="Arial" w:cs="Arial"/>
          <w:kern w:val="0"/>
          <w:sz w:val="24"/>
          <w:szCs w:val="24"/>
        </w:rPr>
        <w:t>-201</w:t>
      </w:r>
      <w:r>
        <w:rPr>
          <w:rFonts w:ascii="Arial" w:hAnsi="Arial" w:cs="Arial"/>
          <w:kern w:val="0"/>
          <w:sz w:val="24"/>
          <w:szCs w:val="24"/>
        </w:rPr>
        <w:t>8</w:t>
      </w:r>
    </w:p>
    <w:p>
      <w:pPr>
        <w:spacing w:line="360" w:lineRule="auto"/>
        <w:ind w:left="105" w:leftChars="50"/>
        <w:rPr>
          <w:rFonts w:ascii="Arial" w:hAnsi="Arial" w:cs="Arial"/>
          <w:sz w:val="24"/>
          <w:szCs w:val="24"/>
        </w:rPr>
      </w:pPr>
      <w:r>
        <w:rPr>
          <w:rFonts w:ascii="Arial" w:hAnsi="Arial" w:cs="Arial"/>
          <w:sz w:val="24"/>
          <w:szCs w:val="24"/>
        </w:rPr>
        <w:t>5.1.2</w:t>
      </w:r>
      <w:r>
        <w:rPr>
          <w:rFonts w:hint="eastAsia" w:ascii="Arial" w:hAnsi="Arial" w:cs="Arial"/>
          <w:sz w:val="24"/>
          <w:szCs w:val="24"/>
        </w:rPr>
        <w:t>、5</w:t>
      </w:r>
      <w:r>
        <w:rPr>
          <w:rFonts w:ascii="Arial" w:hAnsi="Arial" w:cs="Arial"/>
          <w:sz w:val="24"/>
          <w:szCs w:val="24"/>
        </w:rPr>
        <w:t>.1.4、</w:t>
      </w:r>
      <w:r>
        <w:rPr>
          <w:rFonts w:hint="eastAsia" w:ascii="Arial" w:hAnsi="Arial" w:cs="Arial"/>
          <w:sz w:val="24"/>
          <w:szCs w:val="24"/>
        </w:rPr>
        <w:t>5</w:t>
      </w:r>
      <w:r>
        <w:rPr>
          <w:rFonts w:ascii="Arial" w:hAnsi="Arial" w:cs="Arial"/>
          <w:sz w:val="24"/>
          <w:szCs w:val="24"/>
        </w:rPr>
        <w:t>.4.5、</w:t>
      </w:r>
      <w:r>
        <w:rPr>
          <w:rFonts w:hint="eastAsia" w:ascii="Arial" w:hAnsi="Arial" w:cs="Arial"/>
          <w:sz w:val="24"/>
          <w:szCs w:val="24"/>
        </w:rPr>
        <w:t>7</w:t>
      </w:r>
      <w:r>
        <w:rPr>
          <w:rFonts w:ascii="Arial" w:hAnsi="Arial" w:cs="Arial"/>
          <w:sz w:val="24"/>
          <w:szCs w:val="24"/>
        </w:rPr>
        <w:t>.3.3、</w:t>
      </w:r>
      <w:r>
        <w:rPr>
          <w:rFonts w:hint="eastAsia" w:ascii="Arial" w:hAnsi="Arial" w:cs="Arial"/>
          <w:sz w:val="24"/>
          <w:szCs w:val="24"/>
        </w:rPr>
        <w:t>7</w:t>
      </w:r>
      <w:r>
        <w:rPr>
          <w:rFonts w:ascii="Arial" w:hAnsi="Arial" w:cs="Arial"/>
          <w:sz w:val="24"/>
          <w:szCs w:val="24"/>
        </w:rPr>
        <w:t>.3.5、</w:t>
      </w:r>
      <w:r>
        <w:rPr>
          <w:rFonts w:hint="eastAsia" w:ascii="Arial" w:hAnsi="Arial" w:cs="Arial"/>
          <w:sz w:val="24"/>
          <w:szCs w:val="24"/>
        </w:rPr>
        <w:t>7</w:t>
      </w:r>
      <w:r>
        <w:rPr>
          <w:rFonts w:ascii="Arial" w:hAnsi="Arial" w:cs="Arial"/>
          <w:sz w:val="24"/>
          <w:szCs w:val="24"/>
        </w:rPr>
        <w:t>.3.7、</w:t>
      </w:r>
      <w:r>
        <w:rPr>
          <w:rFonts w:hint="eastAsia" w:ascii="Arial" w:hAnsi="Arial" w:cs="Arial"/>
          <w:sz w:val="24"/>
          <w:szCs w:val="24"/>
        </w:rPr>
        <w:t>7</w:t>
      </w:r>
      <w:r>
        <w:rPr>
          <w:rFonts w:ascii="Arial" w:hAnsi="Arial" w:cs="Arial"/>
          <w:sz w:val="24"/>
          <w:szCs w:val="24"/>
        </w:rPr>
        <w:t>.3.8、</w:t>
      </w:r>
      <w:r>
        <w:rPr>
          <w:rFonts w:hint="eastAsia" w:ascii="Arial" w:hAnsi="Arial" w:cs="Arial"/>
          <w:sz w:val="24"/>
          <w:szCs w:val="24"/>
        </w:rPr>
        <w:t>7</w:t>
      </w:r>
      <w:r>
        <w:rPr>
          <w:rFonts w:ascii="Arial" w:hAnsi="Arial" w:cs="Arial"/>
          <w:sz w:val="24"/>
          <w:szCs w:val="24"/>
        </w:rPr>
        <w:t>.3.11、</w:t>
      </w:r>
      <w:r>
        <w:rPr>
          <w:rFonts w:hint="eastAsia" w:ascii="Arial" w:hAnsi="Arial" w:cs="Arial"/>
          <w:sz w:val="24"/>
          <w:szCs w:val="24"/>
        </w:rPr>
        <w:t>7</w:t>
      </w:r>
      <w:r>
        <w:rPr>
          <w:rFonts w:ascii="Arial" w:hAnsi="Arial" w:cs="Arial"/>
          <w:sz w:val="24"/>
          <w:szCs w:val="24"/>
        </w:rPr>
        <w:t>.4.6、</w:t>
      </w:r>
      <w:r>
        <w:rPr>
          <w:rFonts w:hint="eastAsia" w:ascii="Arial" w:hAnsi="Arial" w:cs="Arial"/>
          <w:sz w:val="24"/>
          <w:szCs w:val="24"/>
        </w:rPr>
        <w:t>7</w:t>
      </w:r>
      <w:r>
        <w:rPr>
          <w:rFonts w:ascii="Arial" w:hAnsi="Arial" w:cs="Arial"/>
          <w:sz w:val="24"/>
          <w:szCs w:val="24"/>
        </w:rPr>
        <w:t>.4.7、</w:t>
      </w:r>
      <w:r>
        <w:rPr>
          <w:rFonts w:hint="eastAsia" w:ascii="Arial" w:hAnsi="Arial" w:cs="Arial"/>
          <w:sz w:val="24"/>
          <w:szCs w:val="24"/>
        </w:rPr>
        <w:t>7</w:t>
      </w:r>
      <w:r>
        <w:rPr>
          <w:rFonts w:ascii="Arial" w:hAnsi="Arial" w:cs="Arial"/>
          <w:sz w:val="24"/>
          <w:szCs w:val="24"/>
        </w:rPr>
        <w:t>.4.8、</w:t>
      </w:r>
      <w:r>
        <w:rPr>
          <w:rFonts w:hint="eastAsia" w:ascii="Arial" w:hAnsi="Arial" w:cs="Arial"/>
          <w:sz w:val="24"/>
          <w:szCs w:val="24"/>
        </w:rPr>
        <w:t>7</w:t>
      </w:r>
      <w:r>
        <w:rPr>
          <w:rFonts w:ascii="Arial" w:hAnsi="Arial" w:cs="Arial"/>
          <w:sz w:val="24"/>
          <w:szCs w:val="24"/>
        </w:rPr>
        <w:t>.4.9、</w:t>
      </w:r>
      <w:r>
        <w:rPr>
          <w:rFonts w:hint="eastAsia" w:ascii="Arial" w:hAnsi="Arial" w:cs="Arial"/>
          <w:sz w:val="24"/>
          <w:szCs w:val="24"/>
        </w:rPr>
        <w:t>7</w:t>
      </w:r>
      <w:r>
        <w:rPr>
          <w:rFonts w:ascii="Arial" w:hAnsi="Arial" w:cs="Arial"/>
          <w:sz w:val="24"/>
          <w:szCs w:val="24"/>
        </w:rPr>
        <w:t>.4.10、</w:t>
      </w:r>
      <w:r>
        <w:rPr>
          <w:rFonts w:hint="eastAsia" w:ascii="Arial" w:hAnsi="Arial" w:cs="Arial"/>
          <w:sz w:val="24"/>
          <w:szCs w:val="24"/>
        </w:rPr>
        <w:t>7</w:t>
      </w:r>
      <w:r>
        <w:rPr>
          <w:rFonts w:ascii="Arial" w:hAnsi="Arial" w:cs="Arial"/>
          <w:sz w:val="24"/>
          <w:szCs w:val="24"/>
        </w:rPr>
        <w:t>.5.18、</w:t>
      </w:r>
    </w:p>
    <w:p>
      <w:pPr>
        <w:pStyle w:val="78"/>
        <w:numPr>
          <w:ilvl w:val="0"/>
          <w:numId w:val="24"/>
        </w:numPr>
        <w:spacing w:line="360" w:lineRule="auto"/>
        <w:ind w:firstLineChars="0"/>
        <w:rPr>
          <w:rFonts w:ascii="Arial" w:hAnsi="Arial" w:cs="Arial"/>
          <w:kern w:val="0"/>
          <w:sz w:val="24"/>
          <w:szCs w:val="24"/>
        </w:rPr>
      </w:pPr>
      <w:r>
        <w:rPr>
          <w:rFonts w:ascii="Arial" w:hAnsi="Arial" w:cs="Arial"/>
          <w:kern w:val="0"/>
          <w:sz w:val="24"/>
          <w:szCs w:val="24"/>
        </w:rPr>
        <w:t>《膜结构技术标准》DG/TJ08-97-2019</w:t>
      </w:r>
    </w:p>
    <w:p>
      <w:pPr>
        <w:spacing w:line="360" w:lineRule="auto"/>
        <w:ind w:left="105" w:leftChars="50"/>
        <w:rPr>
          <w:rFonts w:ascii="Arial" w:hAnsi="Arial" w:cs="Arial"/>
          <w:kern w:val="0"/>
          <w:sz w:val="24"/>
          <w:szCs w:val="24"/>
        </w:rPr>
      </w:pPr>
      <w:r>
        <w:rPr>
          <w:rFonts w:ascii="Arial" w:hAnsi="Arial" w:cs="Arial"/>
          <w:kern w:val="0"/>
          <w:sz w:val="24"/>
          <w:szCs w:val="24"/>
        </w:rPr>
        <w:t>4.1.6</w:t>
      </w:r>
    </w:p>
    <w:p>
      <w:pPr>
        <w:pStyle w:val="78"/>
        <w:numPr>
          <w:ilvl w:val="0"/>
          <w:numId w:val="25"/>
        </w:numPr>
        <w:spacing w:line="360" w:lineRule="auto"/>
        <w:ind w:firstLineChars="0"/>
        <w:rPr>
          <w:rFonts w:ascii="Arial" w:hAnsi="Arial" w:cs="Arial"/>
          <w:kern w:val="0"/>
          <w:sz w:val="24"/>
          <w:szCs w:val="24"/>
        </w:rPr>
      </w:pPr>
      <w:r>
        <w:rPr>
          <w:rFonts w:ascii="Arial" w:hAnsi="Arial" w:cs="Arial"/>
          <w:kern w:val="0"/>
          <w:sz w:val="24"/>
          <w:szCs w:val="24"/>
        </w:rPr>
        <w:t>《建筑幕墙工程技术标准》DG/TJ08-56-2019</w:t>
      </w:r>
    </w:p>
    <w:p>
      <w:pPr>
        <w:spacing w:line="360" w:lineRule="auto"/>
        <w:ind w:left="105" w:leftChars="50"/>
        <w:rPr>
          <w:rFonts w:ascii="Arial" w:hAnsi="Arial" w:cs="Arial"/>
          <w:kern w:val="0"/>
          <w:sz w:val="24"/>
          <w:szCs w:val="24"/>
        </w:rPr>
      </w:pPr>
      <w:r>
        <w:rPr>
          <w:rFonts w:ascii="Arial" w:hAnsi="Arial" w:cs="Arial"/>
          <w:kern w:val="0"/>
          <w:sz w:val="24"/>
          <w:szCs w:val="24"/>
        </w:rPr>
        <w:t>10.5.8、11.4.5、13.2.1、13.3.8、C.1.10</w:t>
      </w:r>
    </w:p>
    <w:p>
      <w:pPr>
        <w:pStyle w:val="78"/>
        <w:numPr>
          <w:ilvl w:val="0"/>
          <w:numId w:val="25"/>
        </w:numPr>
        <w:spacing w:line="360" w:lineRule="auto"/>
        <w:ind w:firstLineChars="0"/>
        <w:rPr>
          <w:rFonts w:ascii="Arial" w:hAnsi="Arial" w:cs="Arial"/>
          <w:kern w:val="0"/>
          <w:sz w:val="24"/>
          <w:szCs w:val="24"/>
        </w:rPr>
      </w:pPr>
      <w:r>
        <w:rPr>
          <w:rFonts w:hint="eastAsia" w:ascii="Arial" w:hAnsi="Arial" w:cs="Arial"/>
          <w:kern w:val="0"/>
          <w:sz w:val="24"/>
          <w:szCs w:val="24"/>
        </w:rPr>
        <w:t>《住宅设计标准》 DGJ08-2</w:t>
      </w:r>
      <w:r>
        <w:rPr>
          <w:rFonts w:ascii="Arial" w:hAnsi="Arial" w:cs="Arial"/>
          <w:kern w:val="0"/>
          <w:sz w:val="24"/>
          <w:szCs w:val="24"/>
        </w:rPr>
        <w:t>0</w:t>
      </w:r>
      <w:r>
        <w:rPr>
          <w:rFonts w:hint="eastAsia" w:ascii="Arial" w:hAnsi="Arial" w:cs="Arial"/>
          <w:kern w:val="0"/>
          <w:sz w:val="24"/>
          <w:szCs w:val="24"/>
        </w:rPr>
        <w:t>-20</w:t>
      </w:r>
      <w:r>
        <w:rPr>
          <w:rFonts w:ascii="Arial" w:hAnsi="Arial" w:cs="Arial"/>
          <w:kern w:val="0"/>
          <w:sz w:val="24"/>
          <w:szCs w:val="24"/>
        </w:rPr>
        <w:t>19</w:t>
      </w:r>
    </w:p>
    <w:p>
      <w:pPr>
        <w:spacing w:line="360" w:lineRule="auto"/>
        <w:ind w:left="105" w:leftChars="50"/>
        <w:rPr>
          <w:rFonts w:ascii="Arial" w:hAnsi="Arial" w:cs="Arial"/>
          <w:kern w:val="0"/>
          <w:sz w:val="24"/>
          <w:szCs w:val="24"/>
        </w:rPr>
      </w:pPr>
      <w:r>
        <w:rPr>
          <w:rFonts w:ascii="Arial" w:hAnsi="Arial" w:cs="Arial"/>
          <w:sz w:val="24"/>
          <w:szCs w:val="24"/>
        </w:rPr>
        <w:t>9.0.18</w:t>
      </w:r>
    </w:p>
    <w:p>
      <w:pPr>
        <w:pStyle w:val="78"/>
        <w:numPr>
          <w:ilvl w:val="0"/>
          <w:numId w:val="25"/>
        </w:numPr>
        <w:spacing w:line="360" w:lineRule="auto"/>
        <w:ind w:firstLineChars="0"/>
        <w:rPr>
          <w:rFonts w:ascii="Arial" w:hAnsi="Arial" w:cs="Arial"/>
          <w:kern w:val="0"/>
          <w:sz w:val="24"/>
          <w:szCs w:val="24"/>
        </w:rPr>
      </w:pPr>
      <w:r>
        <w:rPr>
          <w:rFonts w:hint="eastAsia" w:ascii="Arial" w:hAnsi="Arial" w:cs="Arial"/>
          <w:kern w:val="0"/>
          <w:sz w:val="24"/>
          <w:szCs w:val="24"/>
        </w:rPr>
        <w:t>《混凝土异形柱结构技术规程》JGJ</w:t>
      </w:r>
      <w:r>
        <w:rPr>
          <w:rFonts w:ascii="Arial" w:hAnsi="Arial" w:cs="Arial"/>
          <w:kern w:val="0"/>
          <w:sz w:val="24"/>
          <w:szCs w:val="24"/>
        </w:rPr>
        <w:t>149</w:t>
      </w:r>
      <w:r>
        <w:rPr>
          <w:rFonts w:hint="eastAsia" w:ascii="Arial" w:hAnsi="Arial" w:cs="Arial"/>
          <w:kern w:val="0"/>
          <w:sz w:val="24"/>
          <w:szCs w:val="24"/>
        </w:rPr>
        <w:t>-201</w:t>
      </w:r>
      <w:r>
        <w:rPr>
          <w:rFonts w:ascii="Arial" w:hAnsi="Arial" w:cs="Arial"/>
          <w:kern w:val="0"/>
          <w:sz w:val="24"/>
          <w:szCs w:val="24"/>
        </w:rPr>
        <w:t>7</w:t>
      </w:r>
    </w:p>
    <w:p>
      <w:pPr>
        <w:spacing w:line="360" w:lineRule="auto"/>
        <w:ind w:left="105" w:leftChars="50"/>
        <w:rPr>
          <w:rFonts w:ascii="Arial" w:hAnsi="Arial" w:cs="Arial"/>
          <w:sz w:val="24"/>
          <w:szCs w:val="24"/>
        </w:rPr>
      </w:pPr>
      <w:r>
        <w:rPr>
          <w:rFonts w:ascii="Arial" w:hAnsi="Arial" w:cs="Arial"/>
          <w:sz w:val="24"/>
          <w:szCs w:val="24"/>
        </w:rPr>
        <w:t>6.2.5、</w:t>
      </w:r>
      <w:r>
        <w:rPr>
          <w:rFonts w:hint="eastAsia" w:ascii="Arial" w:hAnsi="Arial" w:cs="Arial"/>
          <w:sz w:val="24"/>
          <w:szCs w:val="24"/>
        </w:rPr>
        <w:t>6</w:t>
      </w:r>
      <w:r>
        <w:rPr>
          <w:rFonts w:ascii="Arial" w:hAnsi="Arial" w:cs="Arial"/>
          <w:sz w:val="24"/>
          <w:szCs w:val="24"/>
        </w:rPr>
        <w:t>.2.10</w:t>
      </w:r>
    </w:p>
    <w:p>
      <w:pPr>
        <w:pStyle w:val="78"/>
        <w:numPr>
          <w:ilvl w:val="0"/>
          <w:numId w:val="25"/>
        </w:numPr>
        <w:spacing w:line="360" w:lineRule="auto"/>
        <w:ind w:firstLineChars="0"/>
        <w:rPr>
          <w:rFonts w:ascii="Arial" w:hAnsi="Arial" w:cs="Arial"/>
          <w:kern w:val="0"/>
          <w:sz w:val="24"/>
          <w:szCs w:val="24"/>
        </w:rPr>
      </w:pPr>
      <w:r>
        <w:rPr>
          <w:rFonts w:hint="eastAsia" w:ascii="Arial" w:hAnsi="Arial" w:cs="Arial"/>
          <w:kern w:val="0"/>
          <w:sz w:val="24"/>
          <w:szCs w:val="24"/>
        </w:rPr>
        <w:t>《高层建筑混凝土结构技术规程》JGJ</w:t>
      </w:r>
      <w:r>
        <w:rPr>
          <w:rFonts w:ascii="Arial" w:hAnsi="Arial" w:cs="Arial"/>
          <w:kern w:val="0"/>
          <w:sz w:val="24"/>
          <w:szCs w:val="24"/>
        </w:rPr>
        <w:t>3-2010</w:t>
      </w:r>
    </w:p>
    <w:p>
      <w:pPr>
        <w:spacing w:line="360" w:lineRule="auto"/>
        <w:ind w:left="105" w:leftChars="50"/>
        <w:rPr>
          <w:rFonts w:ascii="Arial" w:hAnsi="Arial" w:cs="Arial"/>
          <w:sz w:val="24"/>
          <w:szCs w:val="24"/>
        </w:rPr>
      </w:pPr>
      <w:r>
        <w:rPr>
          <w:rFonts w:ascii="Arial" w:hAnsi="Arial" w:cs="Arial"/>
          <w:sz w:val="24"/>
          <w:szCs w:val="24"/>
        </w:rPr>
        <w:t xml:space="preserve">    9.2.3</w:t>
      </w:r>
    </w:p>
    <w:p>
      <w:pPr>
        <w:pStyle w:val="78"/>
        <w:numPr>
          <w:ilvl w:val="0"/>
          <w:numId w:val="25"/>
        </w:numPr>
        <w:spacing w:line="360" w:lineRule="auto"/>
        <w:ind w:firstLineChars="0"/>
        <w:rPr>
          <w:rFonts w:ascii="Arial" w:hAnsi="Arial" w:cs="Arial"/>
          <w:kern w:val="0"/>
          <w:sz w:val="24"/>
          <w:szCs w:val="24"/>
        </w:rPr>
      </w:pPr>
      <w:r>
        <w:rPr>
          <w:rFonts w:ascii="Arial" w:hAnsi="Arial" w:cs="Arial"/>
          <w:kern w:val="0"/>
          <w:sz w:val="24"/>
          <w:szCs w:val="24"/>
        </w:rPr>
        <w:t>《空间格构结构技术标准》DG/TJ08-52-2020</w:t>
      </w:r>
    </w:p>
    <w:p>
      <w:pPr>
        <w:spacing w:line="360" w:lineRule="auto"/>
        <w:ind w:left="105" w:leftChars="50"/>
        <w:rPr>
          <w:rFonts w:ascii="Arial" w:hAnsi="Arial" w:cs="Arial"/>
          <w:sz w:val="24"/>
          <w:szCs w:val="24"/>
        </w:rPr>
      </w:pPr>
      <w:r>
        <w:rPr>
          <w:rFonts w:ascii="Arial" w:hAnsi="Arial" w:cs="Arial"/>
          <w:sz w:val="24"/>
          <w:szCs w:val="24"/>
        </w:rPr>
        <w:t xml:space="preserve">    3.1.6</w:t>
      </w:r>
    </w:p>
    <w:p>
      <w:pPr>
        <w:pStyle w:val="78"/>
        <w:numPr>
          <w:ilvl w:val="0"/>
          <w:numId w:val="25"/>
        </w:numPr>
        <w:spacing w:line="360" w:lineRule="auto"/>
        <w:ind w:firstLineChars="0"/>
        <w:rPr>
          <w:rFonts w:ascii="Arial" w:hAnsi="Arial" w:cs="Arial"/>
          <w:kern w:val="0"/>
          <w:sz w:val="24"/>
          <w:szCs w:val="24"/>
        </w:rPr>
      </w:pPr>
      <w:r>
        <w:rPr>
          <w:rFonts w:ascii="Arial" w:hAnsi="Arial" w:cs="Arial"/>
          <w:kern w:val="0"/>
          <w:sz w:val="24"/>
          <w:szCs w:val="24"/>
        </w:rPr>
        <w:t>《现有建筑抗震鉴定与加固标准》DGJ08-81-2021</w:t>
      </w:r>
    </w:p>
    <w:p>
      <w:pPr>
        <w:spacing w:line="360" w:lineRule="auto"/>
        <w:ind w:left="105" w:leftChars="50"/>
        <w:rPr>
          <w:rFonts w:ascii="Arial" w:hAnsi="Arial" w:cs="Arial"/>
          <w:sz w:val="24"/>
          <w:szCs w:val="24"/>
        </w:rPr>
      </w:pPr>
      <w:r>
        <w:rPr>
          <w:rFonts w:ascii="Arial" w:hAnsi="Arial" w:cs="Arial"/>
          <w:sz w:val="24"/>
          <w:szCs w:val="24"/>
        </w:rPr>
        <w:t>16.3.7、</w:t>
      </w:r>
      <w:r>
        <w:rPr>
          <w:rFonts w:hint="eastAsia" w:ascii="Arial" w:hAnsi="Arial" w:cs="Arial"/>
          <w:sz w:val="24"/>
          <w:szCs w:val="24"/>
        </w:rPr>
        <w:t>1</w:t>
      </w:r>
      <w:r>
        <w:rPr>
          <w:rFonts w:ascii="Arial" w:hAnsi="Arial" w:cs="Arial"/>
          <w:sz w:val="24"/>
          <w:szCs w:val="24"/>
        </w:rPr>
        <w:t>7.3.7</w:t>
      </w:r>
    </w:p>
    <w:p>
      <w:pPr>
        <w:pStyle w:val="78"/>
        <w:numPr>
          <w:ilvl w:val="0"/>
          <w:numId w:val="25"/>
        </w:numPr>
        <w:spacing w:line="360" w:lineRule="auto"/>
        <w:ind w:firstLineChars="0"/>
        <w:rPr>
          <w:rFonts w:ascii="Arial" w:hAnsi="Arial" w:cs="Arial"/>
          <w:kern w:val="0"/>
          <w:sz w:val="24"/>
          <w:szCs w:val="24"/>
        </w:rPr>
      </w:pPr>
      <w:r>
        <w:rPr>
          <w:rFonts w:ascii="Arial" w:hAnsi="Arial" w:cs="Arial"/>
          <w:kern w:val="0"/>
          <w:sz w:val="24"/>
          <w:szCs w:val="24"/>
        </w:rPr>
        <w:t>《工程结构加固材料安全性鉴定技术规范》</w:t>
      </w:r>
      <w:r>
        <w:rPr>
          <w:rFonts w:hint="eastAsia" w:ascii="Arial" w:hAnsi="Arial" w:cs="Arial"/>
          <w:kern w:val="0"/>
          <w:sz w:val="24"/>
          <w:szCs w:val="24"/>
        </w:rPr>
        <w:t xml:space="preserve"> GB</w:t>
      </w:r>
      <w:r>
        <w:rPr>
          <w:rFonts w:ascii="Arial" w:hAnsi="Arial" w:cs="Arial"/>
          <w:kern w:val="0"/>
          <w:sz w:val="24"/>
          <w:szCs w:val="24"/>
        </w:rPr>
        <w:t>50728-2011</w:t>
      </w:r>
    </w:p>
    <w:p>
      <w:pPr>
        <w:spacing w:line="360" w:lineRule="auto"/>
        <w:ind w:left="105" w:leftChars="50"/>
        <w:rPr>
          <w:rFonts w:ascii="Arial" w:hAnsi="Arial" w:cs="Arial"/>
          <w:sz w:val="24"/>
          <w:szCs w:val="24"/>
        </w:rPr>
      </w:pPr>
      <w:r>
        <w:rPr>
          <w:rFonts w:ascii="Arial" w:hAnsi="Arial" w:cs="Arial"/>
          <w:sz w:val="24"/>
          <w:szCs w:val="24"/>
        </w:rPr>
        <w:t xml:space="preserve">     8.2.1</w:t>
      </w:r>
    </w:p>
    <w:p>
      <w:pPr>
        <w:pStyle w:val="78"/>
        <w:numPr>
          <w:ilvl w:val="0"/>
          <w:numId w:val="25"/>
        </w:numPr>
        <w:spacing w:line="360" w:lineRule="auto"/>
        <w:ind w:firstLineChars="0"/>
        <w:rPr>
          <w:rFonts w:ascii="Arial" w:hAnsi="Arial" w:cs="Arial"/>
          <w:kern w:val="0"/>
          <w:sz w:val="24"/>
          <w:szCs w:val="24"/>
        </w:rPr>
      </w:pPr>
      <w:r>
        <w:rPr>
          <w:rFonts w:hint="eastAsia" w:ascii="Arial" w:hAnsi="Arial" w:cs="Arial"/>
          <w:kern w:val="0"/>
          <w:sz w:val="24"/>
          <w:szCs w:val="24"/>
        </w:rPr>
        <w:t>《保障性租赁住房设计标准（保障性租赁住房新建分册）》</w:t>
      </w:r>
    </w:p>
    <w:p>
      <w:pPr>
        <w:pStyle w:val="78"/>
        <w:spacing w:line="360" w:lineRule="auto"/>
        <w:ind w:left="420" w:firstLine="0" w:firstLineChars="0"/>
        <w:rPr>
          <w:rFonts w:ascii="Arial" w:hAnsi="Arial" w:cs="Arial"/>
          <w:kern w:val="0"/>
          <w:sz w:val="24"/>
          <w:szCs w:val="24"/>
        </w:rPr>
      </w:pPr>
      <w:r>
        <w:rPr>
          <w:rFonts w:hint="eastAsia" w:ascii="Arial" w:hAnsi="Arial" w:cs="Arial"/>
          <w:kern w:val="0"/>
          <w:sz w:val="24"/>
          <w:szCs w:val="24"/>
        </w:rPr>
        <w:t>DG/TJ08-2291B-2022</w:t>
      </w:r>
    </w:p>
    <w:p>
      <w:pPr>
        <w:spacing w:line="360" w:lineRule="auto"/>
        <w:ind w:left="105" w:leftChars="50"/>
        <w:rPr>
          <w:rFonts w:ascii="Arial" w:hAnsi="Arial" w:cs="Arial"/>
          <w:sz w:val="24"/>
          <w:szCs w:val="24"/>
        </w:rPr>
      </w:pPr>
      <w:r>
        <w:rPr>
          <w:rFonts w:ascii="Arial" w:hAnsi="Arial" w:cs="Arial"/>
          <w:sz w:val="24"/>
          <w:szCs w:val="24"/>
        </w:rPr>
        <w:t>7.0.9</w:t>
      </w:r>
    </w:p>
    <w:p>
      <w:pPr>
        <w:pStyle w:val="78"/>
        <w:numPr>
          <w:ilvl w:val="0"/>
          <w:numId w:val="25"/>
        </w:numPr>
        <w:spacing w:line="360" w:lineRule="auto"/>
        <w:ind w:firstLineChars="0"/>
        <w:rPr>
          <w:rFonts w:ascii="Arial" w:hAnsi="Arial" w:cs="Arial"/>
          <w:kern w:val="0"/>
          <w:sz w:val="24"/>
          <w:szCs w:val="24"/>
        </w:rPr>
      </w:pPr>
      <w:r>
        <w:rPr>
          <w:rFonts w:hint="eastAsia" w:ascii="Arial" w:hAnsi="Arial" w:cs="Arial"/>
          <w:kern w:val="0"/>
          <w:sz w:val="24"/>
          <w:szCs w:val="24"/>
        </w:rPr>
        <w:t>《保障性租赁住房设计标准（保障性租赁住房改建分册）》</w:t>
      </w:r>
    </w:p>
    <w:p>
      <w:pPr>
        <w:pStyle w:val="78"/>
        <w:spacing w:line="360" w:lineRule="auto"/>
        <w:ind w:left="420" w:firstLine="0" w:firstLineChars="0"/>
        <w:rPr>
          <w:rFonts w:ascii="Arial" w:hAnsi="Arial" w:cs="Arial"/>
          <w:kern w:val="0"/>
          <w:sz w:val="24"/>
          <w:szCs w:val="24"/>
        </w:rPr>
      </w:pPr>
      <w:r>
        <w:rPr>
          <w:rFonts w:hint="eastAsia" w:ascii="Arial" w:hAnsi="Arial" w:cs="Arial"/>
          <w:kern w:val="0"/>
          <w:sz w:val="24"/>
          <w:szCs w:val="24"/>
        </w:rPr>
        <w:t>DG/TJ08-2291C-2022</w:t>
      </w:r>
    </w:p>
    <w:p>
      <w:pPr>
        <w:spacing w:line="360" w:lineRule="auto"/>
        <w:ind w:left="105" w:leftChars="50"/>
        <w:rPr>
          <w:rFonts w:ascii="Arial" w:hAnsi="Arial" w:cs="Arial"/>
          <w:sz w:val="24"/>
          <w:szCs w:val="24"/>
        </w:rPr>
      </w:pPr>
      <w:r>
        <w:rPr>
          <w:rFonts w:hint="eastAsia" w:ascii="Arial" w:hAnsi="Arial" w:cs="Arial"/>
          <w:sz w:val="24"/>
          <w:szCs w:val="24"/>
        </w:rPr>
        <w:t>7</w:t>
      </w:r>
      <w:r>
        <w:rPr>
          <w:rFonts w:ascii="Arial" w:hAnsi="Arial" w:cs="Arial"/>
          <w:sz w:val="24"/>
          <w:szCs w:val="24"/>
        </w:rPr>
        <w:t>.0.2</w:t>
      </w:r>
      <w:r>
        <w:rPr>
          <w:rFonts w:hint="eastAsia" w:ascii="Arial" w:hAnsi="Arial" w:cs="Arial"/>
          <w:sz w:val="24"/>
          <w:szCs w:val="24"/>
        </w:rPr>
        <w:t>、7</w:t>
      </w:r>
      <w:r>
        <w:rPr>
          <w:rFonts w:ascii="Arial" w:hAnsi="Arial" w:cs="Arial"/>
          <w:sz w:val="24"/>
          <w:szCs w:val="24"/>
        </w:rPr>
        <w:t>.0.3</w:t>
      </w:r>
    </w:p>
    <w:p>
      <w:pPr>
        <w:pStyle w:val="78"/>
        <w:numPr>
          <w:ilvl w:val="0"/>
          <w:numId w:val="25"/>
        </w:numPr>
        <w:spacing w:line="360" w:lineRule="auto"/>
        <w:ind w:firstLineChars="0"/>
        <w:rPr>
          <w:rFonts w:ascii="Arial" w:hAnsi="Arial" w:cs="Arial"/>
          <w:kern w:val="0"/>
          <w:sz w:val="24"/>
          <w:szCs w:val="24"/>
        </w:rPr>
      </w:pPr>
      <w:r>
        <w:rPr>
          <w:rFonts w:ascii="Arial" w:hAnsi="Arial" w:cs="Arial"/>
          <w:kern w:val="0"/>
          <w:sz w:val="24"/>
          <w:szCs w:val="24"/>
        </w:rPr>
        <w:t>《建筑抗震设计规程》</w:t>
      </w:r>
      <w:r>
        <w:rPr>
          <w:rFonts w:hint="eastAsia" w:ascii="Arial" w:hAnsi="Arial" w:cs="Arial"/>
          <w:kern w:val="0"/>
          <w:sz w:val="24"/>
          <w:szCs w:val="24"/>
        </w:rPr>
        <w:t xml:space="preserve"> DGJ</w:t>
      </w:r>
      <w:r>
        <w:rPr>
          <w:rFonts w:ascii="Arial" w:hAnsi="Arial" w:cs="Arial"/>
          <w:kern w:val="0"/>
          <w:sz w:val="24"/>
          <w:szCs w:val="24"/>
        </w:rPr>
        <w:t>08-9-2013</w:t>
      </w:r>
    </w:p>
    <w:p>
      <w:pPr>
        <w:spacing w:line="360" w:lineRule="auto"/>
        <w:ind w:left="105" w:leftChars="50"/>
        <w:rPr>
          <w:rFonts w:ascii="Arial" w:hAnsi="Arial" w:cs="Arial"/>
          <w:sz w:val="24"/>
          <w:szCs w:val="24"/>
        </w:rPr>
      </w:pPr>
      <w:r>
        <w:rPr>
          <w:rFonts w:ascii="Arial" w:hAnsi="Arial" w:cs="Arial"/>
          <w:sz w:val="24"/>
          <w:szCs w:val="24"/>
        </w:rPr>
        <w:t xml:space="preserve">     3.2.2、</w:t>
      </w:r>
      <w:r>
        <w:rPr>
          <w:rFonts w:hint="eastAsia" w:ascii="Arial" w:hAnsi="Arial" w:cs="Arial"/>
          <w:sz w:val="24"/>
          <w:szCs w:val="24"/>
        </w:rPr>
        <w:t>3</w:t>
      </w:r>
      <w:r>
        <w:rPr>
          <w:rFonts w:ascii="Arial" w:hAnsi="Arial" w:cs="Arial"/>
          <w:sz w:val="24"/>
          <w:szCs w:val="24"/>
        </w:rPr>
        <w:t>.4.3、</w:t>
      </w:r>
      <w:r>
        <w:rPr>
          <w:rFonts w:hint="eastAsia" w:ascii="Arial" w:hAnsi="Arial" w:cs="Arial"/>
          <w:sz w:val="24"/>
          <w:szCs w:val="24"/>
        </w:rPr>
        <w:t>3</w:t>
      </w:r>
      <w:r>
        <w:rPr>
          <w:rFonts w:ascii="Arial" w:hAnsi="Arial" w:cs="Arial"/>
          <w:sz w:val="24"/>
          <w:szCs w:val="24"/>
        </w:rPr>
        <w:t>.4.4、</w:t>
      </w:r>
      <w:r>
        <w:rPr>
          <w:rFonts w:hint="eastAsia" w:ascii="Arial" w:hAnsi="Arial" w:cs="Arial"/>
          <w:sz w:val="24"/>
          <w:szCs w:val="24"/>
        </w:rPr>
        <w:t>3</w:t>
      </w:r>
      <w:r>
        <w:rPr>
          <w:rFonts w:ascii="Arial" w:hAnsi="Arial" w:cs="Arial"/>
          <w:sz w:val="24"/>
          <w:szCs w:val="24"/>
        </w:rPr>
        <w:t>.9.2、</w:t>
      </w:r>
      <w:r>
        <w:rPr>
          <w:rFonts w:hint="eastAsia" w:ascii="Arial" w:hAnsi="Arial" w:cs="Arial"/>
          <w:sz w:val="24"/>
          <w:szCs w:val="24"/>
        </w:rPr>
        <w:t>3</w:t>
      </w:r>
      <w:r>
        <w:rPr>
          <w:rFonts w:ascii="Arial" w:hAnsi="Arial" w:cs="Arial"/>
          <w:sz w:val="24"/>
          <w:szCs w:val="24"/>
        </w:rPr>
        <w:t>.9.5、</w:t>
      </w:r>
      <w:r>
        <w:rPr>
          <w:rFonts w:hint="eastAsia" w:ascii="Arial" w:hAnsi="Arial" w:cs="Arial"/>
          <w:sz w:val="24"/>
          <w:szCs w:val="24"/>
        </w:rPr>
        <w:t>4</w:t>
      </w:r>
      <w:r>
        <w:rPr>
          <w:rFonts w:ascii="Arial" w:hAnsi="Arial" w:cs="Arial"/>
          <w:sz w:val="24"/>
          <w:szCs w:val="24"/>
        </w:rPr>
        <w:t>.2.4、</w:t>
      </w:r>
      <w:r>
        <w:rPr>
          <w:rFonts w:hint="eastAsia" w:ascii="Arial" w:hAnsi="Arial" w:cs="Arial"/>
          <w:sz w:val="24"/>
          <w:szCs w:val="24"/>
        </w:rPr>
        <w:t>4</w:t>
      </w:r>
      <w:r>
        <w:rPr>
          <w:rFonts w:ascii="Arial" w:hAnsi="Arial" w:cs="Arial"/>
          <w:sz w:val="24"/>
          <w:szCs w:val="24"/>
        </w:rPr>
        <w:t>.3.6、</w:t>
      </w:r>
      <w:r>
        <w:rPr>
          <w:rFonts w:hint="eastAsia" w:ascii="Arial" w:hAnsi="Arial" w:cs="Arial"/>
          <w:sz w:val="24"/>
          <w:szCs w:val="24"/>
        </w:rPr>
        <w:t>5</w:t>
      </w:r>
      <w:r>
        <w:rPr>
          <w:rFonts w:ascii="Arial" w:hAnsi="Arial" w:cs="Arial"/>
          <w:sz w:val="24"/>
          <w:szCs w:val="24"/>
        </w:rPr>
        <w:t>.1.2、</w:t>
      </w:r>
      <w:r>
        <w:rPr>
          <w:rFonts w:hint="eastAsia" w:ascii="Arial" w:hAnsi="Arial" w:cs="Arial"/>
          <w:sz w:val="24"/>
          <w:szCs w:val="24"/>
        </w:rPr>
        <w:t>5</w:t>
      </w:r>
      <w:r>
        <w:rPr>
          <w:rFonts w:ascii="Arial" w:hAnsi="Arial" w:cs="Arial"/>
          <w:sz w:val="24"/>
          <w:szCs w:val="24"/>
        </w:rPr>
        <w:t>.5.1、</w:t>
      </w:r>
      <w:r>
        <w:rPr>
          <w:rFonts w:hint="eastAsia" w:ascii="Arial" w:hAnsi="Arial" w:cs="Arial"/>
          <w:sz w:val="24"/>
          <w:szCs w:val="24"/>
        </w:rPr>
        <w:t>5</w:t>
      </w:r>
      <w:r>
        <w:rPr>
          <w:rFonts w:ascii="Arial" w:hAnsi="Arial" w:cs="Arial"/>
          <w:sz w:val="24"/>
          <w:szCs w:val="24"/>
        </w:rPr>
        <w:t>.5.2、</w:t>
      </w:r>
      <w:r>
        <w:rPr>
          <w:rFonts w:hint="eastAsia" w:ascii="Arial" w:hAnsi="Arial" w:cs="Arial"/>
          <w:sz w:val="24"/>
          <w:szCs w:val="24"/>
        </w:rPr>
        <w:t>5</w:t>
      </w:r>
      <w:r>
        <w:rPr>
          <w:rFonts w:ascii="Arial" w:hAnsi="Arial" w:cs="Arial"/>
          <w:sz w:val="24"/>
          <w:szCs w:val="24"/>
        </w:rPr>
        <w:t>.5.5、</w:t>
      </w:r>
      <w:r>
        <w:rPr>
          <w:rFonts w:hint="eastAsia" w:ascii="Arial" w:hAnsi="Arial" w:cs="Arial"/>
          <w:sz w:val="24"/>
          <w:szCs w:val="24"/>
        </w:rPr>
        <w:t>6</w:t>
      </w:r>
      <w:r>
        <w:rPr>
          <w:rFonts w:ascii="Arial" w:hAnsi="Arial" w:cs="Arial"/>
          <w:sz w:val="24"/>
          <w:szCs w:val="24"/>
        </w:rPr>
        <w:t>.1.4、</w:t>
      </w:r>
      <w:r>
        <w:rPr>
          <w:rFonts w:hint="eastAsia" w:ascii="Arial" w:hAnsi="Arial" w:cs="Arial"/>
          <w:sz w:val="24"/>
          <w:szCs w:val="24"/>
        </w:rPr>
        <w:t>6</w:t>
      </w:r>
      <w:r>
        <w:rPr>
          <w:rFonts w:ascii="Arial" w:hAnsi="Arial" w:cs="Arial"/>
          <w:sz w:val="24"/>
          <w:szCs w:val="24"/>
        </w:rPr>
        <w:t>.1.5、</w:t>
      </w:r>
      <w:r>
        <w:rPr>
          <w:rFonts w:hint="eastAsia" w:ascii="Arial" w:hAnsi="Arial" w:cs="Arial"/>
          <w:sz w:val="24"/>
          <w:szCs w:val="24"/>
        </w:rPr>
        <w:t>6</w:t>
      </w:r>
      <w:r>
        <w:rPr>
          <w:rFonts w:ascii="Arial" w:hAnsi="Arial" w:cs="Arial"/>
          <w:sz w:val="24"/>
          <w:szCs w:val="24"/>
        </w:rPr>
        <w:t>.1.7、</w:t>
      </w:r>
      <w:r>
        <w:rPr>
          <w:rFonts w:hint="eastAsia" w:ascii="Arial" w:hAnsi="Arial" w:cs="Arial"/>
          <w:sz w:val="24"/>
          <w:szCs w:val="24"/>
        </w:rPr>
        <w:t>6</w:t>
      </w:r>
      <w:r>
        <w:rPr>
          <w:rFonts w:ascii="Arial" w:hAnsi="Arial" w:cs="Arial"/>
          <w:sz w:val="24"/>
          <w:szCs w:val="24"/>
        </w:rPr>
        <w:t>.1.</w:t>
      </w:r>
      <w:r>
        <w:rPr>
          <w:rFonts w:hint="eastAsia" w:ascii="Arial" w:hAnsi="Arial" w:cs="Arial"/>
          <w:sz w:val="24"/>
          <w:szCs w:val="24"/>
        </w:rPr>
        <w:t>9、6</w:t>
      </w:r>
      <w:r>
        <w:rPr>
          <w:rFonts w:ascii="Arial" w:hAnsi="Arial" w:cs="Arial"/>
          <w:sz w:val="24"/>
          <w:szCs w:val="24"/>
        </w:rPr>
        <w:t>.1.11、</w:t>
      </w:r>
      <w:r>
        <w:rPr>
          <w:rFonts w:hint="eastAsia" w:ascii="Arial" w:hAnsi="Arial" w:cs="Arial"/>
          <w:sz w:val="24"/>
          <w:szCs w:val="24"/>
        </w:rPr>
        <w:t>6</w:t>
      </w:r>
      <w:r>
        <w:rPr>
          <w:rFonts w:ascii="Arial" w:hAnsi="Arial" w:cs="Arial"/>
          <w:sz w:val="24"/>
          <w:szCs w:val="24"/>
        </w:rPr>
        <w:t>.1.12、</w:t>
      </w:r>
      <w:r>
        <w:rPr>
          <w:rFonts w:hint="eastAsia" w:ascii="Arial" w:hAnsi="Arial" w:cs="Arial"/>
          <w:sz w:val="24"/>
          <w:szCs w:val="24"/>
        </w:rPr>
        <w:t>6</w:t>
      </w:r>
      <w:r>
        <w:rPr>
          <w:rFonts w:ascii="Arial" w:hAnsi="Arial" w:cs="Arial"/>
          <w:sz w:val="24"/>
          <w:szCs w:val="24"/>
        </w:rPr>
        <w:t>.1.17、</w:t>
      </w:r>
      <w:r>
        <w:rPr>
          <w:rFonts w:hint="eastAsia" w:ascii="Arial" w:hAnsi="Arial" w:cs="Arial"/>
          <w:sz w:val="24"/>
          <w:szCs w:val="24"/>
        </w:rPr>
        <w:t>6</w:t>
      </w:r>
      <w:r>
        <w:rPr>
          <w:rFonts w:ascii="Arial" w:hAnsi="Arial" w:cs="Arial"/>
          <w:sz w:val="24"/>
          <w:szCs w:val="24"/>
        </w:rPr>
        <w:t>.1.18、</w:t>
      </w:r>
      <w:r>
        <w:rPr>
          <w:rFonts w:hint="eastAsia" w:ascii="Arial" w:hAnsi="Arial" w:cs="Arial"/>
          <w:sz w:val="24"/>
          <w:szCs w:val="24"/>
        </w:rPr>
        <w:t>6</w:t>
      </w:r>
      <w:r>
        <w:rPr>
          <w:rFonts w:ascii="Arial" w:hAnsi="Arial" w:cs="Arial"/>
          <w:sz w:val="24"/>
          <w:szCs w:val="24"/>
        </w:rPr>
        <w:t>.1.20、</w:t>
      </w:r>
      <w:r>
        <w:rPr>
          <w:rFonts w:hint="eastAsia" w:ascii="Arial" w:hAnsi="Arial" w:cs="Arial"/>
          <w:sz w:val="24"/>
          <w:szCs w:val="24"/>
        </w:rPr>
        <w:t>6</w:t>
      </w:r>
      <w:r>
        <w:rPr>
          <w:rFonts w:ascii="Arial" w:hAnsi="Arial" w:cs="Arial"/>
          <w:sz w:val="24"/>
          <w:szCs w:val="24"/>
        </w:rPr>
        <w:t>.1.21、</w:t>
      </w:r>
      <w:r>
        <w:rPr>
          <w:rFonts w:hint="eastAsia" w:ascii="Arial" w:hAnsi="Arial" w:cs="Arial"/>
          <w:sz w:val="24"/>
          <w:szCs w:val="24"/>
        </w:rPr>
        <w:t>6</w:t>
      </w:r>
      <w:r>
        <w:rPr>
          <w:rFonts w:ascii="Arial" w:hAnsi="Arial" w:cs="Arial"/>
          <w:sz w:val="24"/>
          <w:szCs w:val="24"/>
        </w:rPr>
        <w:t>.1.22、</w:t>
      </w:r>
      <w:r>
        <w:rPr>
          <w:rFonts w:hint="eastAsia" w:ascii="Arial" w:hAnsi="Arial" w:cs="Arial"/>
          <w:sz w:val="24"/>
          <w:szCs w:val="24"/>
        </w:rPr>
        <w:t>6</w:t>
      </w:r>
      <w:r>
        <w:rPr>
          <w:rFonts w:ascii="Arial" w:hAnsi="Arial" w:cs="Arial"/>
          <w:sz w:val="24"/>
          <w:szCs w:val="24"/>
        </w:rPr>
        <w:t>.2.12、</w:t>
      </w:r>
      <w:r>
        <w:rPr>
          <w:rFonts w:hint="eastAsia" w:ascii="Arial" w:hAnsi="Arial" w:cs="Arial"/>
          <w:sz w:val="24"/>
          <w:szCs w:val="24"/>
        </w:rPr>
        <w:t>6</w:t>
      </w:r>
      <w:r>
        <w:rPr>
          <w:rFonts w:ascii="Arial" w:hAnsi="Arial" w:cs="Arial"/>
          <w:sz w:val="24"/>
          <w:szCs w:val="24"/>
        </w:rPr>
        <w:t>.2.15、</w:t>
      </w:r>
      <w:r>
        <w:rPr>
          <w:rFonts w:hint="eastAsia" w:ascii="Arial" w:hAnsi="Arial" w:cs="Arial"/>
          <w:sz w:val="24"/>
          <w:szCs w:val="24"/>
        </w:rPr>
        <w:t>6</w:t>
      </w:r>
      <w:r>
        <w:rPr>
          <w:rFonts w:ascii="Arial" w:hAnsi="Arial" w:cs="Arial"/>
          <w:sz w:val="24"/>
          <w:szCs w:val="24"/>
        </w:rPr>
        <w:t>.2.16、</w:t>
      </w:r>
      <w:r>
        <w:rPr>
          <w:rFonts w:hint="eastAsia" w:ascii="Arial" w:hAnsi="Arial" w:cs="Arial"/>
          <w:sz w:val="24"/>
          <w:szCs w:val="24"/>
        </w:rPr>
        <w:t>6</w:t>
      </w:r>
      <w:r>
        <w:rPr>
          <w:rFonts w:ascii="Arial" w:hAnsi="Arial" w:cs="Arial"/>
          <w:sz w:val="24"/>
          <w:szCs w:val="24"/>
        </w:rPr>
        <w:t>.3.2、</w:t>
      </w:r>
      <w:r>
        <w:rPr>
          <w:rFonts w:hint="eastAsia" w:ascii="Arial" w:hAnsi="Arial" w:cs="Arial"/>
          <w:sz w:val="24"/>
          <w:szCs w:val="24"/>
        </w:rPr>
        <w:t>6</w:t>
      </w:r>
      <w:r>
        <w:rPr>
          <w:rFonts w:ascii="Arial" w:hAnsi="Arial" w:cs="Arial"/>
          <w:sz w:val="24"/>
          <w:szCs w:val="24"/>
        </w:rPr>
        <w:t>.3.6、</w:t>
      </w:r>
      <w:r>
        <w:rPr>
          <w:rFonts w:hint="eastAsia" w:ascii="Arial" w:hAnsi="Arial" w:cs="Arial"/>
          <w:sz w:val="24"/>
          <w:szCs w:val="24"/>
        </w:rPr>
        <w:t>6</w:t>
      </w:r>
      <w:r>
        <w:rPr>
          <w:rFonts w:ascii="Arial" w:hAnsi="Arial" w:cs="Arial"/>
          <w:sz w:val="24"/>
          <w:szCs w:val="24"/>
        </w:rPr>
        <w:t>.3.8、</w:t>
      </w:r>
      <w:r>
        <w:rPr>
          <w:rFonts w:hint="eastAsia" w:ascii="Arial" w:hAnsi="Arial" w:cs="Arial"/>
          <w:sz w:val="24"/>
          <w:szCs w:val="24"/>
        </w:rPr>
        <w:t>6</w:t>
      </w:r>
      <w:r>
        <w:rPr>
          <w:rFonts w:ascii="Arial" w:hAnsi="Arial" w:cs="Arial"/>
          <w:sz w:val="24"/>
          <w:szCs w:val="24"/>
        </w:rPr>
        <w:t>.3.9、</w:t>
      </w:r>
      <w:r>
        <w:rPr>
          <w:rFonts w:hint="eastAsia" w:ascii="Arial" w:hAnsi="Arial" w:cs="Arial"/>
          <w:sz w:val="24"/>
          <w:szCs w:val="24"/>
        </w:rPr>
        <w:t>6</w:t>
      </w:r>
      <w:r>
        <w:rPr>
          <w:rFonts w:ascii="Arial" w:hAnsi="Arial" w:cs="Arial"/>
          <w:sz w:val="24"/>
          <w:szCs w:val="24"/>
        </w:rPr>
        <w:t>.4.1、</w:t>
      </w:r>
      <w:r>
        <w:rPr>
          <w:rFonts w:hint="eastAsia" w:ascii="Arial" w:hAnsi="Arial" w:cs="Arial"/>
          <w:sz w:val="24"/>
          <w:szCs w:val="24"/>
        </w:rPr>
        <w:t>6</w:t>
      </w:r>
      <w:r>
        <w:rPr>
          <w:rFonts w:ascii="Arial" w:hAnsi="Arial" w:cs="Arial"/>
          <w:sz w:val="24"/>
          <w:szCs w:val="24"/>
        </w:rPr>
        <w:t>.4.2、</w:t>
      </w:r>
      <w:r>
        <w:rPr>
          <w:rFonts w:hint="eastAsia" w:ascii="Arial" w:hAnsi="Arial" w:cs="Arial"/>
          <w:sz w:val="24"/>
          <w:szCs w:val="24"/>
        </w:rPr>
        <w:t>6</w:t>
      </w:r>
      <w:r>
        <w:rPr>
          <w:rFonts w:ascii="Arial" w:hAnsi="Arial" w:cs="Arial"/>
          <w:sz w:val="24"/>
          <w:szCs w:val="24"/>
        </w:rPr>
        <w:t>.4.5、</w:t>
      </w:r>
      <w:r>
        <w:rPr>
          <w:rFonts w:hint="eastAsia" w:ascii="Arial" w:hAnsi="Arial" w:cs="Arial"/>
          <w:sz w:val="24"/>
          <w:szCs w:val="24"/>
        </w:rPr>
        <w:t>6</w:t>
      </w:r>
      <w:r>
        <w:rPr>
          <w:rFonts w:ascii="Arial" w:hAnsi="Arial" w:cs="Arial"/>
          <w:sz w:val="24"/>
          <w:szCs w:val="24"/>
        </w:rPr>
        <w:t>.4.6、</w:t>
      </w:r>
      <w:r>
        <w:rPr>
          <w:rFonts w:hint="eastAsia" w:ascii="Arial" w:hAnsi="Arial" w:cs="Arial"/>
          <w:sz w:val="24"/>
          <w:szCs w:val="24"/>
        </w:rPr>
        <w:t>6</w:t>
      </w:r>
      <w:r>
        <w:rPr>
          <w:rFonts w:ascii="Arial" w:hAnsi="Arial" w:cs="Arial"/>
          <w:sz w:val="24"/>
          <w:szCs w:val="24"/>
        </w:rPr>
        <w:t>.5.1、</w:t>
      </w:r>
      <w:r>
        <w:rPr>
          <w:rFonts w:hint="eastAsia" w:ascii="Arial" w:hAnsi="Arial" w:cs="Arial"/>
          <w:sz w:val="24"/>
          <w:szCs w:val="24"/>
        </w:rPr>
        <w:t>6</w:t>
      </w:r>
      <w:r>
        <w:rPr>
          <w:rFonts w:ascii="Arial" w:hAnsi="Arial" w:cs="Arial"/>
          <w:sz w:val="24"/>
          <w:szCs w:val="24"/>
        </w:rPr>
        <w:t>.6.2、</w:t>
      </w:r>
      <w:r>
        <w:rPr>
          <w:rFonts w:hint="eastAsia" w:ascii="Arial" w:hAnsi="Arial" w:cs="Arial"/>
          <w:sz w:val="24"/>
          <w:szCs w:val="24"/>
        </w:rPr>
        <w:t>6</w:t>
      </w:r>
      <w:r>
        <w:rPr>
          <w:rFonts w:ascii="Arial" w:hAnsi="Arial" w:cs="Arial"/>
          <w:sz w:val="24"/>
          <w:szCs w:val="24"/>
        </w:rPr>
        <w:t>.6.7、</w:t>
      </w:r>
      <w:r>
        <w:rPr>
          <w:rFonts w:hint="eastAsia" w:ascii="Arial" w:hAnsi="Arial" w:cs="Arial"/>
          <w:sz w:val="24"/>
          <w:szCs w:val="24"/>
        </w:rPr>
        <w:t>6</w:t>
      </w:r>
      <w:r>
        <w:rPr>
          <w:rFonts w:ascii="Arial" w:hAnsi="Arial" w:cs="Arial"/>
          <w:sz w:val="24"/>
          <w:szCs w:val="24"/>
        </w:rPr>
        <w:t>.6.8、</w:t>
      </w:r>
      <w:r>
        <w:rPr>
          <w:rFonts w:hint="eastAsia" w:ascii="Arial" w:hAnsi="Arial" w:cs="Arial"/>
          <w:sz w:val="24"/>
          <w:szCs w:val="24"/>
        </w:rPr>
        <w:t>8</w:t>
      </w:r>
      <w:r>
        <w:rPr>
          <w:rFonts w:ascii="Arial" w:hAnsi="Arial" w:cs="Arial"/>
          <w:sz w:val="24"/>
          <w:szCs w:val="24"/>
        </w:rPr>
        <w:t>.1.1、</w:t>
      </w:r>
      <w:r>
        <w:rPr>
          <w:rFonts w:hint="eastAsia" w:ascii="Arial" w:hAnsi="Arial" w:cs="Arial"/>
          <w:sz w:val="24"/>
          <w:szCs w:val="24"/>
        </w:rPr>
        <w:t>8</w:t>
      </w:r>
      <w:r>
        <w:rPr>
          <w:rFonts w:ascii="Arial" w:hAnsi="Arial" w:cs="Arial"/>
          <w:sz w:val="24"/>
          <w:szCs w:val="24"/>
        </w:rPr>
        <w:t>.1.3、</w:t>
      </w:r>
      <w:r>
        <w:rPr>
          <w:rFonts w:hint="eastAsia" w:ascii="Arial" w:hAnsi="Arial" w:cs="Arial"/>
          <w:sz w:val="24"/>
          <w:szCs w:val="24"/>
        </w:rPr>
        <w:t>8</w:t>
      </w:r>
      <w:r>
        <w:rPr>
          <w:rFonts w:ascii="Arial" w:hAnsi="Arial" w:cs="Arial"/>
          <w:sz w:val="24"/>
          <w:szCs w:val="24"/>
        </w:rPr>
        <w:t>.1.8、</w:t>
      </w:r>
      <w:r>
        <w:rPr>
          <w:rFonts w:hint="eastAsia" w:ascii="Arial" w:hAnsi="Arial" w:cs="Arial"/>
          <w:sz w:val="24"/>
          <w:szCs w:val="24"/>
        </w:rPr>
        <w:t>8</w:t>
      </w:r>
      <w:r>
        <w:rPr>
          <w:rFonts w:ascii="Arial" w:hAnsi="Arial" w:cs="Arial"/>
          <w:sz w:val="24"/>
          <w:szCs w:val="24"/>
        </w:rPr>
        <w:t>.3.1、</w:t>
      </w:r>
      <w:r>
        <w:rPr>
          <w:rFonts w:hint="eastAsia" w:ascii="Arial" w:hAnsi="Arial" w:cs="Arial"/>
          <w:sz w:val="24"/>
          <w:szCs w:val="24"/>
        </w:rPr>
        <w:t>8</w:t>
      </w:r>
      <w:r>
        <w:rPr>
          <w:rFonts w:ascii="Arial" w:hAnsi="Arial" w:cs="Arial"/>
          <w:sz w:val="24"/>
          <w:szCs w:val="24"/>
        </w:rPr>
        <w:t>.3.2、</w:t>
      </w:r>
      <w:r>
        <w:rPr>
          <w:rFonts w:hint="eastAsia" w:ascii="Arial" w:hAnsi="Arial" w:cs="Arial"/>
          <w:sz w:val="24"/>
          <w:szCs w:val="24"/>
        </w:rPr>
        <w:t>8</w:t>
      </w:r>
      <w:r>
        <w:rPr>
          <w:rFonts w:ascii="Arial" w:hAnsi="Arial" w:cs="Arial"/>
          <w:sz w:val="24"/>
          <w:szCs w:val="24"/>
        </w:rPr>
        <w:t>.3.3、</w:t>
      </w:r>
      <w:r>
        <w:rPr>
          <w:rFonts w:hint="eastAsia" w:ascii="Arial" w:hAnsi="Arial" w:cs="Arial"/>
          <w:sz w:val="24"/>
          <w:szCs w:val="24"/>
        </w:rPr>
        <w:t>8</w:t>
      </w:r>
      <w:r>
        <w:rPr>
          <w:rFonts w:ascii="Arial" w:hAnsi="Arial" w:cs="Arial"/>
          <w:sz w:val="24"/>
          <w:szCs w:val="24"/>
        </w:rPr>
        <w:t>.3.4、</w:t>
      </w:r>
      <w:r>
        <w:rPr>
          <w:rFonts w:hint="eastAsia" w:ascii="Arial" w:hAnsi="Arial" w:cs="Arial"/>
          <w:sz w:val="24"/>
          <w:szCs w:val="24"/>
        </w:rPr>
        <w:t>8</w:t>
      </w:r>
      <w:r>
        <w:rPr>
          <w:rFonts w:ascii="Arial" w:hAnsi="Arial" w:cs="Arial"/>
          <w:sz w:val="24"/>
          <w:szCs w:val="24"/>
        </w:rPr>
        <w:t>.3.7、</w:t>
      </w:r>
      <w:r>
        <w:rPr>
          <w:rFonts w:hint="eastAsia" w:ascii="Arial" w:hAnsi="Arial" w:cs="Arial"/>
          <w:sz w:val="24"/>
          <w:szCs w:val="24"/>
        </w:rPr>
        <w:t>8</w:t>
      </w:r>
      <w:r>
        <w:rPr>
          <w:rFonts w:ascii="Arial" w:hAnsi="Arial" w:cs="Arial"/>
          <w:sz w:val="24"/>
          <w:szCs w:val="24"/>
        </w:rPr>
        <w:t>.3.10、</w:t>
      </w:r>
      <w:r>
        <w:rPr>
          <w:rFonts w:hint="eastAsia" w:ascii="Arial" w:hAnsi="Arial" w:cs="Arial"/>
          <w:sz w:val="24"/>
          <w:szCs w:val="24"/>
        </w:rPr>
        <w:t>8</w:t>
      </w:r>
      <w:r>
        <w:rPr>
          <w:rFonts w:ascii="Arial" w:hAnsi="Arial" w:cs="Arial"/>
          <w:sz w:val="24"/>
          <w:szCs w:val="24"/>
        </w:rPr>
        <w:t>.3.11、</w:t>
      </w:r>
      <w:r>
        <w:rPr>
          <w:rFonts w:hint="eastAsia" w:ascii="Arial" w:hAnsi="Arial" w:cs="Arial"/>
          <w:sz w:val="24"/>
          <w:szCs w:val="24"/>
        </w:rPr>
        <w:t>8</w:t>
      </w:r>
      <w:r>
        <w:rPr>
          <w:rFonts w:ascii="Arial" w:hAnsi="Arial" w:cs="Arial"/>
          <w:sz w:val="24"/>
          <w:szCs w:val="24"/>
        </w:rPr>
        <w:t>.3.14、</w:t>
      </w:r>
      <w:r>
        <w:rPr>
          <w:rFonts w:hint="eastAsia" w:ascii="Arial" w:hAnsi="Arial" w:cs="Arial"/>
          <w:sz w:val="24"/>
          <w:szCs w:val="24"/>
        </w:rPr>
        <w:t>8</w:t>
      </w:r>
      <w:r>
        <w:rPr>
          <w:rFonts w:ascii="Arial" w:hAnsi="Arial" w:cs="Arial"/>
          <w:sz w:val="24"/>
          <w:szCs w:val="24"/>
        </w:rPr>
        <w:t>.4.1、</w:t>
      </w:r>
      <w:r>
        <w:rPr>
          <w:rFonts w:hint="eastAsia" w:ascii="Arial" w:hAnsi="Arial" w:cs="Arial"/>
          <w:sz w:val="24"/>
          <w:szCs w:val="24"/>
        </w:rPr>
        <w:t>8</w:t>
      </w:r>
      <w:r>
        <w:rPr>
          <w:rFonts w:ascii="Arial" w:hAnsi="Arial" w:cs="Arial"/>
          <w:sz w:val="24"/>
          <w:szCs w:val="24"/>
        </w:rPr>
        <w:t>.4.2、</w:t>
      </w:r>
      <w:r>
        <w:rPr>
          <w:rFonts w:hint="eastAsia" w:ascii="Arial" w:hAnsi="Arial" w:cs="Arial"/>
          <w:sz w:val="24"/>
          <w:szCs w:val="24"/>
        </w:rPr>
        <w:t>8</w:t>
      </w:r>
      <w:r>
        <w:rPr>
          <w:rFonts w:ascii="Arial" w:hAnsi="Arial" w:cs="Arial"/>
          <w:sz w:val="24"/>
          <w:szCs w:val="24"/>
        </w:rPr>
        <w:t>.4.3、</w:t>
      </w:r>
      <w:r>
        <w:rPr>
          <w:rFonts w:hint="eastAsia" w:ascii="Arial" w:hAnsi="Arial" w:cs="Arial"/>
          <w:sz w:val="24"/>
          <w:szCs w:val="24"/>
        </w:rPr>
        <w:t>8</w:t>
      </w:r>
      <w:r>
        <w:rPr>
          <w:rFonts w:ascii="Arial" w:hAnsi="Arial" w:cs="Arial"/>
          <w:sz w:val="24"/>
          <w:szCs w:val="24"/>
        </w:rPr>
        <w:t>.4.5、</w:t>
      </w:r>
      <w:r>
        <w:rPr>
          <w:rFonts w:hint="eastAsia" w:ascii="Arial" w:hAnsi="Arial" w:cs="Arial"/>
          <w:sz w:val="24"/>
          <w:szCs w:val="24"/>
        </w:rPr>
        <w:t>8</w:t>
      </w:r>
      <w:r>
        <w:rPr>
          <w:rFonts w:ascii="Arial" w:hAnsi="Arial" w:cs="Arial"/>
          <w:sz w:val="24"/>
          <w:szCs w:val="24"/>
        </w:rPr>
        <w:t>.4.6、</w:t>
      </w:r>
      <w:r>
        <w:rPr>
          <w:rFonts w:hint="eastAsia" w:ascii="Arial" w:hAnsi="Arial" w:cs="Arial"/>
          <w:sz w:val="24"/>
          <w:szCs w:val="24"/>
        </w:rPr>
        <w:t>8</w:t>
      </w:r>
      <w:r>
        <w:rPr>
          <w:rFonts w:ascii="Arial" w:hAnsi="Arial" w:cs="Arial"/>
          <w:sz w:val="24"/>
          <w:szCs w:val="24"/>
        </w:rPr>
        <w:t>.4.7、</w:t>
      </w:r>
      <w:r>
        <w:rPr>
          <w:rFonts w:hint="eastAsia" w:ascii="Arial" w:hAnsi="Arial" w:cs="Arial"/>
          <w:sz w:val="24"/>
          <w:szCs w:val="24"/>
        </w:rPr>
        <w:t>8</w:t>
      </w:r>
      <w:r>
        <w:rPr>
          <w:rFonts w:ascii="Arial" w:hAnsi="Arial" w:cs="Arial"/>
          <w:sz w:val="24"/>
          <w:szCs w:val="24"/>
        </w:rPr>
        <w:t>.5.1、</w:t>
      </w:r>
      <w:r>
        <w:rPr>
          <w:rFonts w:hint="eastAsia" w:ascii="Arial" w:hAnsi="Arial" w:cs="Arial"/>
          <w:sz w:val="24"/>
          <w:szCs w:val="24"/>
        </w:rPr>
        <w:t>8</w:t>
      </w:r>
      <w:r>
        <w:rPr>
          <w:rFonts w:ascii="Arial" w:hAnsi="Arial" w:cs="Arial"/>
          <w:sz w:val="24"/>
          <w:szCs w:val="24"/>
        </w:rPr>
        <w:t>.5.2、</w:t>
      </w:r>
      <w:r>
        <w:rPr>
          <w:rFonts w:hint="eastAsia" w:ascii="Arial" w:hAnsi="Arial" w:cs="Arial"/>
          <w:sz w:val="24"/>
          <w:szCs w:val="24"/>
        </w:rPr>
        <w:t>8</w:t>
      </w:r>
      <w:r>
        <w:rPr>
          <w:rFonts w:ascii="Arial" w:hAnsi="Arial" w:cs="Arial"/>
          <w:sz w:val="24"/>
          <w:szCs w:val="24"/>
        </w:rPr>
        <w:t>.5.3、</w:t>
      </w:r>
      <w:r>
        <w:rPr>
          <w:rFonts w:hint="eastAsia" w:ascii="Arial" w:hAnsi="Arial" w:cs="Arial"/>
          <w:sz w:val="24"/>
          <w:szCs w:val="24"/>
        </w:rPr>
        <w:t>8</w:t>
      </w:r>
      <w:r>
        <w:rPr>
          <w:rFonts w:ascii="Arial" w:hAnsi="Arial" w:cs="Arial"/>
          <w:sz w:val="24"/>
          <w:szCs w:val="24"/>
        </w:rPr>
        <w:t>.5.5、</w:t>
      </w:r>
      <w:r>
        <w:rPr>
          <w:rFonts w:hint="eastAsia" w:ascii="Arial" w:hAnsi="Arial" w:cs="Arial"/>
          <w:sz w:val="24"/>
          <w:szCs w:val="24"/>
        </w:rPr>
        <w:t>8</w:t>
      </w:r>
      <w:r>
        <w:rPr>
          <w:rFonts w:ascii="Arial" w:hAnsi="Arial" w:cs="Arial"/>
          <w:sz w:val="24"/>
          <w:szCs w:val="24"/>
        </w:rPr>
        <w:t>.5.6、</w:t>
      </w:r>
      <w:r>
        <w:rPr>
          <w:rFonts w:hint="eastAsia" w:ascii="Arial" w:hAnsi="Arial" w:cs="Arial"/>
          <w:sz w:val="24"/>
          <w:szCs w:val="24"/>
        </w:rPr>
        <w:t>8</w:t>
      </w:r>
      <w:r>
        <w:rPr>
          <w:rFonts w:ascii="Arial" w:hAnsi="Arial" w:cs="Arial"/>
          <w:sz w:val="24"/>
          <w:szCs w:val="24"/>
        </w:rPr>
        <w:t>.5.7、</w:t>
      </w:r>
      <w:r>
        <w:rPr>
          <w:rFonts w:hint="eastAsia" w:ascii="Arial" w:hAnsi="Arial" w:cs="Arial"/>
          <w:sz w:val="24"/>
          <w:szCs w:val="24"/>
        </w:rPr>
        <w:t>8</w:t>
      </w:r>
      <w:r>
        <w:rPr>
          <w:rFonts w:ascii="Arial" w:hAnsi="Arial" w:cs="Arial"/>
          <w:sz w:val="24"/>
          <w:szCs w:val="24"/>
        </w:rPr>
        <w:t>.5.10、</w:t>
      </w:r>
      <w:r>
        <w:rPr>
          <w:rFonts w:hint="eastAsia" w:ascii="Arial" w:hAnsi="Arial" w:cs="Arial"/>
          <w:sz w:val="24"/>
          <w:szCs w:val="24"/>
        </w:rPr>
        <w:t>8</w:t>
      </w:r>
      <w:r>
        <w:rPr>
          <w:rFonts w:ascii="Arial" w:hAnsi="Arial" w:cs="Arial"/>
          <w:sz w:val="24"/>
          <w:szCs w:val="24"/>
        </w:rPr>
        <w:t>.6.6、</w:t>
      </w:r>
      <w:r>
        <w:rPr>
          <w:rFonts w:hint="eastAsia" w:ascii="Arial" w:hAnsi="Arial" w:cs="Arial"/>
          <w:sz w:val="24"/>
          <w:szCs w:val="24"/>
        </w:rPr>
        <w:t>8</w:t>
      </w:r>
      <w:r>
        <w:rPr>
          <w:rFonts w:ascii="Arial" w:hAnsi="Arial" w:cs="Arial"/>
          <w:sz w:val="24"/>
          <w:szCs w:val="24"/>
        </w:rPr>
        <w:t>.6.8、</w:t>
      </w:r>
      <w:r>
        <w:rPr>
          <w:rFonts w:hint="eastAsia" w:ascii="Arial" w:hAnsi="Arial" w:cs="Arial"/>
          <w:sz w:val="24"/>
          <w:szCs w:val="24"/>
        </w:rPr>
        <w:t>8</w:t>
      </w:r>
      <w:r>
        <w:rPr>
          <w:rFonts w:ascii="Arial" w:hAnsi="Arial" w:cs="Arial"/>
          <w:sz w:val="24"/>
          <w:szCs w:val="24"/>
        </w:rPr>
        <w:t>.7.2、</w:t>
      </w:r>
      <w:r>
        <w:rPr>
          <w:rFonts w:hint="eastAsia" w:ascii="Arial" w:hAnsi="Arial" w:cs="Arial"/>
          <w:sz w:val="24"/>
          <w:szCs w:val="24"/>
        </w:rPr>
        <w:t>8</w:t>
      </w:r>
      <w:r>
        <w:rPr>
          <w:rFonts w:ascii="Arial" w:hAnsi="Arial" w:cs="Arial"/>
          <w:sz w:val="24"/>
          <w:szCs w:val="24"/>
        </w:rPr>
        <w:t>.7.3、</w:t>
      </w:r>
      <w:r>
        <w:rPr>
          <w:rFonts w:hint="eastAsia" w:ascii="Arial" w:hAnsi="Arial" w:cs="Arial"/>
          <w:sz w:val="24"/>
          <w:szCs w:val="24"/>
        </w:rPr>
        <w:t>9</w:t>
      </w:r>
      <w:r>
        <w:rPr>
          <w:rFonts w:ascii="Arial" w:hAnsi="Arial" w:cs="Arial"/>
          <w:sz w:val="24"/>
          <w:szCs w:val="24"/>
        </w:rPr>
        <w:t>.1.1、</w:t>
      </w:r>
      <w:r>
        <w:rPr>
          <w:rFonts w:hint="eastAsia" w:ascii="Arial" w:hAnsi="Arial" w:cs="Arial"/>
          <w:sz w:val="24"/>
          <w:szCs w:val="24"/>
        </w:rPr>
        <w:t>9</w:t>
      </w:r>
      <w:r>
        <w:rPr>
          <w:rFonts w:ascii="Arial" w:hAnsi="Arial" w:cs="Arial"/>
          <w:sz w:val="24"/>
          <w:szCs w:val="24"/>
        </w:rPr>
        <w:t>.1.2、</w:t>
      </w:r>
      <w:r>
        <w:rPr>
          <w:rFonts w:hint="eastAsia" w:ascii="Arial" w:hAnsi="Arial" w:cs="Arial"/>
          <w:sz w:val="24"/>
          <w:szCs w:val="24"/>
        </w:rPr>
        <w:t>9</w:t>
      </w:r>
      <w:r>
        <w:rPr>
          <w:rFonts w:ascii="Arial" w:hAnsi="Arial" w:cs="Arial"/>
          <w:sz w:val="24"/>
          <w:szCs w:val="24"/>
        </w:rPr>
        <w:t>.1.8、</w:t>
      </w:r>
      <w:r>
        <w:rPr>
          <w:rFonts w:hint="eastAsia" w:ascii="Arial" w:hAnsi="Arial" w:cs="Arial"/>
          <w:sz w:val="24"/>
          <w:szCs w:val="24"/>
        </w:rPr>
        <w:t>9</w:t>
      </w:r>
      <w:r>
        <w:rPr>
          <w:rFonts w:ascii="Arial" w:hAnsi="Arial" w:cs="Arial"/>
          <w:sz w:val="24"/>
          <w:szCs w:val="24"/>
        </w:rPr>
        <w:t>.1.11、</w:t>
      </w:r>
      <w:r>
        <w:rPr>
          <w:rFonts w:hint="eastAsia" w:ascii="Arial" w:hAnsi="Arial" w:cs="Arial"/>
          <w:sz w:val="24"/>
          <w:szCs w:val="24"/>
        </w:rPr>
        <w:t>9</w:t>
      </w:r>
      <w:r>
        <w:rPr>
          <w:rFonts w:ascii="Arial" w:hAnsi="Arial" w:cs="Arial"/>
          <w:sz w:val="24"/>
          <w:szCs w:val="24"/>
        </w:rPr>
        <w:t>.1.13、</w:t>
      </w:r>
      <w:r>
        <w:rPr>
          <w:rFonts w:hint="eastAsia" w:ascii="Arial" w:hAnsi="Arial" w:cs="Arial"/>
          <w:sz w:val="24"/>
          <w:szCs w:val="24"/>
        </w:rPr>
        <w:t>9</w:t>
      </w:r>
      <w:r>
        <w:rPr>
          <w:rFonts w:ascii="Arial" w:hAnsi="Arial" w:cs="Arial"/>
          <w:sz w:val="24"/>
          <w:szCs w:val="24"/>
        </w:rPr>
        <w:t>.1.14、</w:t>
      </w:r>
      <w:r>
        <w:rPr>
          <w:rFonts w:hint="eastAsia" w:ascii="Arial" w:hAnsi="Arial" w:cs="Arial"/>
          <w:sz w:val="24"/>
          <w:szCs w:val="24"/>
        </w:rPr>
        <w:t>9</w:t>
      </w:r>
      <w:r>
        <w:rPr>
          <w:rFonts w:ascii="Arial" w:hAnsi="Arial" w:cs="Arial"/>
          <w:sz w:val="24"/>
          <w:szCs w:val="24"/>
        </w:rPr>
        <w:t>.1.17、</w:t>
      </w:r>
      <w:r>
        <w:rPr>
          <w:rFonts w:hint="eastAsia" w:ascii="Arial" w:hAnsi="Arial" w:cs="Arial"/>
          <w:sz w:val="24"/>
          <w:szCs w:val="24"/>
        </w:rPr>
        <w:t>9</w:t>
      </w:r>
      <w:r>
        <w:rPr>
          <w:rFonts w:ascii="Arial" w:hAnsi="Arial" w:cs="Arial"/>
          <w:sz w:val="24"/>
          <w:szCs w:val="24"/>
        </w:rPr>
        <w:t>.1.19、</w:t>
      </w:r>
      <w:r>
        <w:rPr>
          <w:rFonts w:hint="eastAsia" w:ascii="Arial" w:hAnsi="Arial" w:cs="Arial"/>
          <w:sz w:val="24"/>
          <w:szCs w:val="24"/>
        </w:rPr>
        <w:t>9</w:t>
      </w:r>
      <w:r>
        <w:rPr>
          <w:rFonts w:ascii="Arial" w:hAnsi="Arial" w:cs="Arial"/>
          <w:sz w:val="24"/>
          <w:szCs w:val="24"/>
        </w:rPr>
        <w:t>.1.22、</w:t>
      </w:r>
      <w:r>
        <w:rPr>
          <w:rFonts w:hint="eastAsia" w:ascii="Arial" w:hAnsi="Arial" w:cs="Arial"/>
          <w:sz w:val="24"/>
          <w:szCs w:val="24"/>
        </w:rPr>
        <w:t>9</w:t>
      </w:r>
      <w:r>
        <w:rPr>
          <w:rFonts w:ascii="Arial" w:hAnsi="Arial" w:cs="Arial"/>
          <w:sz w:val="24"/>
          <w:szCs w:val="24"/>
        </w:rPr>
        <w:t>.1.23、</w:t>
      </w:r>
      <w:r>
        <w:rPr>
          <w:rFonts w:hint="eastAsia" w:ascii="Arial" w:hAnsi="Arial" w:cs="Arial"/>
          <w:sz w:val="24"/>
          <w:szCs w:val="24"/>
        </w:rPr>
        <w:t>9</w:t>
      </w:r>
      <w:r>
        <w:rPr>
          <w:rFonts w:ascii="Arial" w:hAnsi="Arial" w:cs="Arial"/>
          <w:sz w:val="24"/>
          <w:szCs w:val="24"/>
        </w:rPr>
        <w:t>.1.24、</w:t>
      </w:r>
      <w:r>
        <w:rPr>
          <w:rFonts w:hint="eastAsia" w:ascii="Arial" w:hAnsi="Arial" w:cs="Arial"/>
          <w:sz w:val="24"/>
          <w:szCs w:val="24"/>
        </w:rPr>
        <w:t>9</w:t>
      </w:r>
      <w:r>
        <w:rPr>
          <w:rFonts w:ascii="Arial" w:hAnsi="Arial" w:cs="Arial"/>
          <w:sz w:val="24"/>
          <w:szCs w:val="24"/>
        </w:rPr>
        <w:t>.1.27、</w:t>
      </w:r>
      <w:r>
        <w:rPr>
          <w:rFonts w:hint="eastAsia" w:ascii="Arial" w:hAnsi="Arial" w:cs="Arial"/>
          <w:sz w:val="24"/>
          <w:szCs w:val="24"/>
        </w:rPr>
        <w:t>9</w:t>
      </w:r>
      <w:r>
        <w:rPr>
          <w:rFonts w:ascii="Arial" w:hAnsi="Arial" w:cs="Arial"/>
          <w:sz w:val="24"/>
          <w:szCs w:val="24"/>
        </w:rPr>
        <w:t>.1.28、</w:t>
      </w:r>
      <w:r>
        <w:rPr>
          <w:rFonts w:hint="eastAsia" w:ascii="Arial" w:hAnsi="Arial" w:cs="Arial"/>
          <w:sz w:val="24"/>
          <w:szCs w:val="24"/>
        </w:rPr>
        <w:t>9</w:t>
      </w:r>
      <w:r>
        <w:rPr>
          <w:rFonts w:ascii="Arial" w:hAnsi="Arial" w:cs="Arial"/>
          <w:sz w:val="24"/>
          <w:szCs w:val="24"/>
        </w:rPr>
        <w:t>.1.29、</w:t>
      </w:r>
      <w:r>
        <w:rPr>
          <w:rFonts w:hint="eastAsia" w:ascii="Arial" w:hAnsi="Arial" w:cs="Arial"/>
          <w:sz w:val="24"/>
          <w:szCs w:val="24"/>
        </w:rPr>
        <w:t>9</w:t>
      </w:r>
      <w:r>
        <w:rPr>
          <w:rFonts w:ascii="Arial" w:hAnsi="Arial" w:cs="Arial"/>
          <w:sz w:val="24"/>
          <w:szCs w:val="24"/>
        </w:rPr>
        <w:t>.1.30、</w:t>
      </w:r>
      <w:r>
        <w:rPr>
          <w:rFonts w:hint="eastAsia" w:ascii="Arial" w:hAnsi="Arial" w:cs="Arial"/>
          <w:sz w:val="24"/>
          <w:szCs w:val="24"/>
        </w:rPr>
        <w:t>9</w:t>
      </w:r>
      <w:r>
        <w:rPr>
          <w:rFonts w:ascii="Arial" w:hAnsi="Arial" w:cs="Arial"/>
          <w:sz w:val="24"/>
          <w:szCs w:val="24"/>
        </w:rPr>
        <w:t>.1.32、</w:t>
      </w:r>
      <w:r>
        <w:rPr>
          <w:rFonts w:hint="eastAsia" w:ascii="Arial" w:hAnsi="Arial" w:cs="Arial"/>
          <w:sz w:val="24"/>
          <w:szCs w:val="24"/>
        </w:rPr>
        <w:t>1</w:t>
      </w:r>
      <w:r>
        <w:rPr>
          <w:rFonts w:ascii="Arial" w:hAnsi="Arial" w:cs="Arial"/>
          <w:sz w:val="24"/>
          <w:szCs w:val="24"/>
        </w:rPr>
        <w:t>1.1.12、</w:t>
      </w:r>
      <w:r>
        <w:rPr>
          <w:rFonts w:hint="eastAsia" w:ascii="Arial" w:hAnsi="Arial" w:cs="Arial"/>
          <w:sz w:val="24"/>
          <w:szCs w:val="24"/>
        </w:rPr>
        <w:t>1</w:t>
      </w:r>
      <w:r>
        <w:rPr>
          <w:rFonts w:ascii="Arial" w:hAnsi="Arial" w:cs="Arial"/>
          <w:sz w:val="24"/>
          <w:szCs w:val="24"/>
        </w:rPr>
        <w:t>1.2.17</w:t>
      </w:r>
    </w:p>
    <w:p>
      <w:pPr>
        <w:spacing w:line="360" w:lineRule="auto"/>
        <w:ind w:left="105" w:leftChars="50"/>
        <w:rPr>
          <w:rFonts w:ascii="Arial" w:hAnsi="Arial" w:cs="Arial"/>
          <w:sz w:val="24"/>
          <w:szCs w:val="24"/>
        </w:rPr>
      </w:pPr>
    </w:p>
    <w:p>
      <w:pPr>
        <w:spacing w:line="360" w:lineRule="auto"/>
        <w:ind w:firstLine="480" w:firstLineChars="200"/>
        <w:rPr>
          <w:rFonts w:ascii="Arial" w:hAnsi="Arial" w:cs="Arial"/>
          <w:sz w:val="24"/>
          <w:szCs w:val="24"/>
        </w:rPr>
      </w:pPr>
    </w:p>
    <w:p>
      <w:pPr>
        <w:pStyle w:val="2"/>
        <w:pageBreakBefore w:val="0"/>
        <w:widowControl w:val="0"/>
        <w:numPr>
          <w:ilvl w:val="0"/>
          <w:numId w:val="0"/>
        </w:numPr>
        <w:kinsoku/>
        <w:wordWrap/>
        <w:overflowPunct/>
        <w:topLinePunct w:val="0"/>
        <w:autoSpaceDE/>
        <w:autoSpaceDN/>
        <w:bidi w:val="0"/>
        <w:adjustRightInd/>
        <w:snapToGrid/>
        <w:spacing w:before="20" w:after="157" w:afterLines="50" w:line="600" w:lineRule="exact"/>
        <w:ind w:left="105" w:leftChars="50"/>
        <w:jc w:val="both"/>
        <w:textAlignment w:val="auto"/>
      </w:pPr>
      <w:r>
        <w:br w:type="page"/>
      </w:r>
      <w:bookmarkStart w:id="37" w:name="_Toc118119912"/>
    </w:p>
    <w:p>
      <w:pPr>
        <w:pStyle w:val="2"/>
        <w:keepNext/>
        <w:keepLines/>
        <w:pageBreakBefore w:val="0"/>
        <w:widowControl w:val="0"/>
        <w:numPr>
          <w:ilvl w:val="0"/>
          <w:numId w:val="0"/>
        </w:numPr>
        <w:kinsoku/>
        <w:wordWrap/>
        <w:overflowPunct/>
        <w:topLinePunct w:val="0"/>
        <w:autoSpaceDE/>
        <w:autoSpaceDN/>
        <w:bidi w:val="0"/>
        <w:adjustRightInd/>
        <w:snapToGrid/>
        <w:spacing w:before="40" w:after="157" w:afterLines="50" w:line="600" w:lineRule="exact"/>
        <w:ind w:firstLine="880" w:firstLineChars="200"/>
        <w:jc w:val="both"/>
        <w:textAlignment w:val="auto"/>
      </w:pPr>
      <w:r>
        <w:rPr>
          <w:rFonts w:hint="eastAsia"/>
          <w:lang w:val="en-US" w:eastAsia="zh-CN"/>
        </w:rPr>
        <w:t>三、</w:t>
      </w:r>
      <w:r>
        <w:rPr>
          <w:rFonts w:hint="eastAsia"/>
        </w:rPr>
        <w:t>附录</w:t>
      </w:r>
      <w:r>
        <w:rPr>
          <w:rFonts w:hint="eastAsia"/>
          <w:lang w:val="en-US" w:eastAsia="zh-CN"/>
        </w:rPr>
        <w:t xml:space="preserve"> </w:t>
      </w:r>
      <w:r>
        <w:rPr>
          <w:rFonts w:hint="eastAsia"/>
        </w:rPr>
        <w:t>近年</w:t>
      </w:r>
      <w:r>
        <w:rPr>
          <w:rFonts w:hint="eastAsia"/>
          <w:lang w:eastAsia="zh-CN"/>
        </w:rPr>
        <w:t>来</w:t>
      </w:r>
      <w:r>
        <w:t>发布的</w:t>
      </w:r>
      <w:r>
        <w:rPr>
          <w:rFonts w:hint="eastAsia"/>
          <w:lang w:eastAsia="zh-CN"/>
        </w:rPr>
        <w:t>相关</w:t>
      </w:r>
      <w:r>
        <w:t>文件</w:t>
      </w:r>
      <w:bookmarkEnd w:id="37"/>
    </w:p>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Arial" w:hAnsi="Arial" w:cs="Arial"/>
          <w:kern w:val="0"/>
          <w:sz w:val="24"/>
          <w:szCs w:val="24"/>
        </w:rPr>
      </w:pPr>
      <w:r>
        <w:rPr>
          <w:rFonts w:hint="eastAsia" w:ascii="Arial" w:hAnsi="Arial" w:cs="Arial"/>
          <w:kern w:val="0"/>
          <w:sz w:val="24"/>
          <w:szCs w:val="24"/>
          <w:lang w:val="en-US" w:eastAsia="zh-CN"/>
        </w:rPr>
        <w:t>3.1 《危险性较大的分部分项工程安全管理规定》</w:t>
      </w:r>
      <w:r>
        <w:rPr>
          <w:rFonts w:hint="eastAsia" w:ascii="Arial" w:hAnsi="Arial" w:cs="Arial"/>
          <w:kern w:val="0"/>
          <w:sz w:val="24"/>
          <w:szCs w:val="24"/>
        </w:rPr>
        <w:t>（</w:t>
      </w:r>
      <w:r>
        <w:rPr>
          <w:rFonts w:hint="eastAsia" w:ascii="Arial" w:hAnsi="Arial" w:cs="Arial"/>
          <w:kern w:val="0"/>
          <w:sz w:val="24"/>
          <w:szCs w:val="24"/>
          <w:lang w:val="en-US" w:eastAsia="zh-CN"/>
        </w:rPr>
        <w:t>中华人民共和国住房和城乡建设部令 第 37 号</w:t>
      </w:r>
      <w:r>
        <w:rPr>
          <w:rFonts w:hint="eastAsia" w:ascii="Arial" w:hAnsi="Arial" w:cs="Arial"/>
          <w:kern w:val="0"/>
          <w:sz w:val="24"/>
          <w:szCs w:val="24"/>
        </w:rPr>
        <w:t>）</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Arial" w:hAnsi="Arial" w:cs="Arial"/>
          <w:kern w:val="0"/>
          <w:sz w:val="24"/>
          <w:szCs w:val="24"/>
        </w:rPr>
      </w:pPr>
      <w:r>
        <w:rPr>
          <w:rFonts w:hint="eastAsia" w:ascii="Arial" w:hAnsi="Arial" w:cs="Arial"/>
          <w:kern w:val="0"/>
          <w:sz w:val="24"/>
          <w:szCs w:val="24"/>
          <w:lang w:val="en-US" w:eastAsia="zh-CN"/>
        </w:rPr>
        <w:t>3</w:t>
      </w:r>
      <w:r>
        <w:rPr>
          <w:rFonts w:ascii="Arial" w:hAnsi="Arial" w:cs="Arial"/>
          <w:kern w:val="0"/>
          <w:sz w:val="24"/>
          <w:szCs w:val="24"/>
        </w:rPr>
        <w:t>.</w:t>
      </w:r>
      <w:r>
        <w:rPr>
          <w:rFonts w:hint="eastAsia" w:ascii="Arial" w:hAnsi="Arial" w:cs="Arial"/>
          <w:kern w:val="0"/>
          <w:sz w:val="24"/>
          <w:szCs w:val="24"/>
          <w:lang w:val="en-US" w:eastAsia="zh-CN"/>
        </w:rPr>
        <w:t>2</w:t>
      </w:r>
      <w:r>
        <w:rPr>
          <w:rFonts w:ascii="Arial" w:hAnsi="Arial" w:cs="Arial"/>
          <w:kern w:val="0"/>
          <w:sz w:val="24"/>
          <w:szCs w:val="24"/>
        </w:rPr>
        <w:t xml:space="preserve"> </w:t>
      </w:r>
      <w:r>
        <w:rPr>
          <w:rFonts w:hint="eastAsia" w:ascii="Arial" w:hAnsi="Arial" w:cs="Arial"/>
          <w:kern w:val="0"/>
          <w:sz w:val="24"/>
          <w:szCs w:val="24"/>
        </w:rPr>
        <w:t>《关于进一步明确装配式建筑实施范围和相关工作要求的通知》（沪建建材【2</w:t>
      </w:r>
      <w:r>
        <w:rPr>
          <w:rFonts w:ascii="Arial" w:hAnsi="Arial" w:cs="Arial"/>
          <w:kern w:val="0"/>
          <w:sz w:val="24"/>
          <w:szCs w:val="24"/>
        </w:rPr>
        <w:t>019</w:t>
      </w:r>
      <w:r>
        <w:rPr>
          <w:rFonts w:hint="eastAsia" w:ascii="Arial" w:hAnsi="Arial" w:cs="Arial"/>
          <w:kern w:val="0"/>
          <w:sz w:val="24"/>
          <w:szCs w:val="24"/>
        </w:rPr>
        <w:t>】9</w:t>
      </w:r>
      <w:r>
        <w:rPr>
          <w:rFonts w:ascii="Arial" w:hAnsi="Arial" w:cs="Arial"/>
          <w:kern w:val="0"/>
          <w:sz w:val="24"/>
          <w:szCs w:val="24"/>
        </w:rPr>
        <w:t>7号</w:t>
      </w:r>
      <w:r>
        <w:rPr>
          <w:rFonts w:hint="eastAsia" w:ascii="Arial" w:hAnsi="Arial" w:cs="Arial"/>
          <w:kern w:val="0"/>
          <w:sz w:val="24"/>
          <w:szCs w:val="24"/>
        </w:rPr>
        <w:t>）</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Arial" w:hAnsi="Arial" w:cs="Arial"/>
          <w:kern w:val="0"/>
          <w:sz w:val="24"/>
          <w:szCs w:val="24"/>
        </w:rPr>
      </w:pPr>
      <w:r>
        <w:rPr>
          <w:rFonts w:hint="eastAsia" w:ascii="Arial" w:hAnsi="Arial" w:cs="Arial"/>
          <w:kern w:val="0"/>
          <w:sz w:val="24"/>
          <w:szCs w:val="24"/>
          <w:lang w:val="en-US" w:eastAsia="zh-CN"/>
        </w:rPr>
        <w:t>3</w:t>
      </w:r>
      <w:r>
        <w:rPr>
          <w:rFonts w:ascii="Arial" w:hAnsi="Arial" w:cs="Arial"/>
          <w:kern w:val="0"/>
          <w:sz w:val="24"/>
          <w:szCs w:val="24"/>
        </w:rPr>
        <w:t>.</w:t>
      </w:r>
      <w:r>
        <w:rPr>
          <w:rFonts w:hint="eastAsia" w:ascii="Arial" w:hAnsi="Arial" w:cs="Arial"/>
          <w:kern w:val="0"/>
          <w:sz w:val="24"/>
          <w:szCs w:val="24"/>
          <w:lang w:val="en-US" w:eastAsia="zh-CN"/>
        </w:rPr>
        <w:t xml:space="preserve">3 </w:t>
      </w:r>
      <w:r>
        <w:rPr>
          <w:rFonts w:hint="eastAsia" w:ascii="Arial" w:hAnsi="Arial" w:cs="Arial"/>
          <w:kern w:val="0"/>
          <w:sz w:val="24"/>
          <w:szCs w:val="24"/>
        </w:rPr>
        <w:t>《上海市装配式建筑单体预制率和装配率计算细则》</w:t>
      </w:r>
      <w:r>
        <w:rPr>
          <w:rFonts w:hint="eastAsia" w:ascii="Arial" w:hAnsi="Arial" w:cs="Arial"/>
          <w:kern w:val="0"/>
          <w:sz w:val="24"/>
          <w:szCs w:val="24"/>
          <w:lang w:val="en-US" w:eastAsia="zh-CN"/>
        </w:rPr>
        <w:t xml:space="preserve"> </w:t>
      </w:r>
      <w:r>
        <w:rPr>
          <w:rFonts w:hint="eastAsia" w:ascii="Arial" w:hAnsi="Arial" w:cs="Arial"/>
          <w:kern w:val="0"/>
          <w:sz w:val="24"/>
          <w:szCs w:val="24"/>
        </w:rPr>
        <w:t>的通知（沪建建材【2</w:t>
      </w:r>
      <w:r>
        <w:rPr>
          <w:rFonts w:ascii="Arial" w:hAnsi="Arial" w:cs="Arial"/>
          <w:kern w:val="0"/>
          <w:sz w:val="24"/>
          <w:szCs w:val="24"/>
        </w:rPr>
        <w:t>019</w:t>
      </w:r>
      <w:r>
        <w:rPr>
          <w:rFonts w:hint="eastAsia" w:ascii="Arial" w:hAnsi="Arial" w:cs="Arial"/>
          <w:kern w:val="0"/>
          <w:sz w:val="24"/>
          <w:szCs w:val="24"/>
        </w:rPr>
        <w:t>】</w:t>
      </w:r>
      <w:r>
        <w:rPr>
          <w:rFonts w:ascii="Arial" w:hAnsi="Arial" w:cs="Arial"/>
          <w:kern w:val="0"/>
          <w:sz w:val="24"/>
          <w:szCs w:val="24"/>
        </w:rPr>
        <w:t>765号</w:t>
      </w:r>
      <w:r>
        <w:rPr>
          <w:rFonts w:hint="eastAsia" w:ascii="Arial" w:hAnsi="Arial" w:cs="Arial"/>
          <w:kern w:val="0"/>
          <w:sz w:val="24"/>
          <w:szCs w:val="24"/>
        </w:rPr>
        <w:t>）</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Arial" w:hAnsi="Arial" w:cs="Arial"/>
          <w:kern w:val="0"/>
          <w:sz w:val="24"/>
          <w:szCs w:val="24"/>
          <w:lang w:val="en-US" w:eastAsia="zh-CN"/>
        </w:rPr>
      </w:pPr>
      <w:r>
        <w:rPr>
          <w:rFonts w:hint="eastAsia" w:ascii="Arial" w:hAnsi="Arial" w:cs="Arial"/>
          <w:kern w:val="0"/>
          <w:sz w:val="24"/>
          <w:szCs w:val="24"/>
          <w:lang w:val="en-US" w:eastAsia="zh-CN"/>
        </w:rPr>
        <w:t>3.4 《上海市装配整体式混凝土建筑防水技术质量管理导则》（沪建质安【2020】20号）</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Arial" w:hAnsi="Arial" w:cs="Arial"/>
          <w:kern w:val="0"/>
          <w:sz w:val="24"/>
          <w:szCs w:val="24"/>
          <w:lang w:val="en-US" w:eastAsia="zh-CN"/>
        </w:rPr>
      </w:pPr>
      <w:r>
        <w:rPr>
          <w:rFonts w:hint="eastAsia" w:ascii="Arial" w:hAnsi="Arial" w:cs="Arial"/>
          <w:kern w:val="0"/>
          <w:sz w:val="24"/>
          <w:szCs w:val="24"/>
          <w:lang w:val="en-US" w:eastAsia="zh-CN"/>
        </w:rPr>
        <w:t>3.5 《上海市禁止或者限制生产和使用的用于建设工程的材料目录（第五批）》（沪建建材【2020】539号）</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Arial" w:hAnsi="Arial" w:cs="Arial"/>
          <w:kern w:val="0"/>
          <w:sz w:val="24"/>
          <w:szCs w:val="24"/>
          <w:lang w:val="en-US" w:eastAsia="zh-CN"/>
        </w:rPr>
      </w:pPr>
      <w:r>
        <w:rPr>
          <w:rFonts w:hint="eastAsia" w:ascii="Arial" w:hAnsi="Arial" w:cs="Arial"/>
          <w:kern w:val="0"/>
          <w:sz w:val="24"/>
          <w:szCs w:val="24"/>
          <w:lang w:val="en-US" w:eastAsia="zh-CN"/>
        </w:rPr>
        <w:t>3.6 《关于加强本市房屋建筑立面工程质量管理的通知》（沪建安质监联【2021】1号）</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Arial" w:hAnsi="Arial" w:cs="Arial"/>
          <w:kern w:val="0"/>
          <w:sz w:val="24"/>
          <w:szCs w:val="24"/>
          <w:lang w:val="en-US" w:eastAsia="zh-CN"/>
        </w:rPr>
      </w:pPr>
      <w:r>
        <w:rPr>
          <w:rFonts w:hint="eastAsia" w:ascii="Arial" w:hAnsi="Arial" w:cs="Arial"/>
          <w:kern w:val="0"/>
          <w:sz w:val="24"/>
          <w:szCs w:val="24"/>
          <w:lang w:val="en-US" w:eastAsia="zh-CN"/>
        </w:rPr>
        <w:t>3.7 《关于进一步明确上海市装配式建筑单体预制率和装配率计算相关要求的通知》（沪建建材【2021】584号）</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Arial" w:hAnsi="Arial" w:cs="Arial"/>
          <w:kern w:val="0"/>
          <w:sz w:val="24"/>
          <w:szCs w:val="24"/>
          <w:lang w:val="en-US" w:eastAsia="zh-CN"/>
        </w:rPr>
      </w:pPr>
      <w:r>
        <w:rPr>
          <w:rFonts w:hint="eastAsia" w:ascii="Arial" w:hAnsi="Arial" w:cs="Arial"/>
          <w:kern w:val="0"/>
          <w:sz w:val="24"/>
          <w:szCs w:val="24"/>
          <w:lang w:val="en-US" w:eastAsia="zh-CN"/>
        </w:rPr>
        <w:t>3.8 《关于进一步规范本市装配式混凝土建筑设计管理的通知》 （沪勘设管 【2021】13号）</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Arial" w:hAnsi="Arial" w:cs="Arial"/>
          <w:kern w:val="0"/>
          <w:sz w:val="24"/>
          <w:szCs w:val="24"/>
          <w:lang w:val="en-US" w:eastAsia="zh-CN"/>
        </w:rPr>
      </w:pPr>
      <w:r>
        <w:rPr>
          <w:rFonts w:hint="eastAsia" w:ascii="Arial" w:hAnsi="Arial" w:cs="Arial"/>
          <w:kern w:val="0"/>
          <w:sz w:val="24"/>
          <w:szCs w:val="24"/>
          <w:lang w:val="en-US" w:eastAsia="zh-CN"/>
        </w:rPr>
        <w:t>3.9 《关于加强本市绿色建筑设计管理工作的通知》 (沪建建材【2021】337号）</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Arial" w:hAnsi="Arial" w:cs="Arial"/>
          <w:kern w:val="0"/>
          <w:sz w:val="24"/>
          <w:szCs w:val="24"/>
          <w:lang w:val="en-US" w:eastAsia="zh-CN"/>
        </w:rPr>
      </w:pPr>
      <w:r>
        <w:rPr>
          <w:rFonts w:hint="eastAsia" w:ascii="Arial" w:hAnsi="Arial" w:cs="Arial"/>
          <w:kern w:val="0"/>
          <w:sz w:val="24"/>
          <w:szCs w:val="24"/>
          <w:lang w:val="en-US" w:eastAsia="zh-CN"/>
        </w:rPr>
        <w:t>3.10 《关于加强本市外墙外保温系统及材料使用管理的通知》 （沪建建材【2021】586号）</w:t>
      </w:r>
    </w:p>
    <w:p>
      <w:pPr>
        <w:keepNext w:val="0"/>
        <w:keepLines w:val="0"/>
        <w:pageBreakBefore w:val="0"/>
        <w:widowControl w:val="0"/>
        <w:kinsoku/>
        <w:wordWrap/>
        <w:overflowPunct/>
        <w:topLinePunct w:val="0"/>
        <w:autoSpaceDE/>
        <w:autoSpaceDN/>
        <w:bidi w:val="0"/>
        <w:adjustRightInd/>
        <w:snapToGrid/>
        <w:spacing w:line="600" w:lineRule="exact"/>
        <w:textAlignment w:val="auto"/>
      </w:pPr>
      <w:r>
        <w:rPr>
          <w:rFonts w:hint="eastAsia" w:ascii="Arial" w:hAnsi="Arial" w:eastAsia="宋体" w:cs="Arial"/>
          <w:kern w:val="0"/>
          <w:sz w:val="24"/>
          <w:szCs w:val="24"/>
          <w:lang w:val="en-US" w:eastAsia="zh-CN"/>
        </w:rPr>
        <w:t>3.11《上海市装配式混凝土建筑工程质量管理规定》（沪住建规范〔2022〕14号）</w:t>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方正仿宋简体">
    <w:altName w:val="方正仿宋_GBK"/>
    <w:panose1 w:val="00000000000000000000"/>
    <w:charset w:val="86"/>
    <w:family w:val="script"/>
    <w:pitch w:val="default"/>
    <w:sig w:usb0="00000000" w:usb1="00000000" w:usb2="00000010" w:usb3="00000000" w:csb0="00040000" w:csb1="00000000"/>
  </w:font>
  <w:font w:name="Helvetica">
    <w:altName w:val="NanumBarunGothic"/>
    <w:panose1 w:val="020B0604020202020204"/>
    <w:charset w:val="00"/>
    <w:family w:val="swiss"/>
    <w:pitch w:val="default"/>
    <w:sig w:usb0="00000000" w:usb1="00000000" w:usb2="00000009" w:usb3="00000000" w:csb0="000001FF" w:csb1="00000000"/>
  </w:font>
  <w:font w:name="Times">
    <w:altName w:val="DejaVu Sans"/>
    <w:panose1 w:val="02020603050405020304"/>
    <w:charset w:val="00"/>
    <w:family w:val="roman"/>
    <w:pitch w:val="default"/>
    <w:sig w:usb0="00000000" w:usb1="00000000" w:usb2="00000009" w:usb3="00000000" w:csb0="000001FF" w:csb1="00000000"/>
  </w:font>
  <w:font w:name="楷体_GB2312">
    <w:altName w:val="方正楷体_GBK"/>
    <w:panose1 w:val="02010609030101010101"/>
    <w:charset w:val="86"/>
    <w:family w:val="modern"/>
    <w:pitch w:val="default"/>
    <w:sig w:usb0="00000000" w:usb1="00000000" w:usb2="00000000" w:usb3="00000000" w:csb0="00040000" w:csb1="00000000"/>
  </w:font>
  <w:font w:name="Cambria Math">
    <w:altName w:val="DejaVu Math TeX Gyre"/>
    <w:panose1 w:val="02040503050406030204"/>
    <w:charset w:val="00"/>
    <w:family w:val="roman"/>
    <w:pitch w:val="default"/>
    <w:sig w:usb0="00000000" w:usb1="00000000" w:usb2="02000000" w:usb3="00000000" w:csb0="2000019F" w:csb1="00000000"/>
  </w:font>
  <w:font w:name="Malgun Gothic">
    <w:altName w:val="NanumBarunGothic"/>
    <w:panose1 w:val="020B0503020000020004"/>
    <w:charset w:val="81"/>
    <w:family w:val="swiss"/>
    <w:pitch w:val="default"/>
    <w:sig w:usb0="00000000" w:usb1="00000000" w:usb2="00000012" w:usb3="00000000" w:csb0="0008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DejaVu Math TeX Gyre">
    <w:panose1 w:val="02000503000000000000"/>
    <w:charset w:val="00"/>
    <w:family w:val="auto"/>
    <w:pitch w:val="default"/>
    <w:sig w:usb0="A10000EF" w:usb1="4201F9EE" w:usb2="02000000" w:usb3="00000000" w:csb0="60000193" w:csb1="0DD40000"/>
  </w:font>
  <w:font w:name="NanumBarunGothic">
    <w:panose1 w:val="020B0603020101020101"/>
    <w:charset w:val="81"/>
    <w:family w:val="auto"/>
    <w:pitch w:val="default"/>
    <w:sig w:usb0="800002A7" w:usb1="01D77CFB" w:usb2="00000010"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P5eUqHQIAACsEAAAOAAAAZHJz&#10;L2Uyb0RvYy54bWytU82O0zAQviPxDpbvNGmBVVU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l5SodAgAAKwQAAA4AAAAAAAAAAQAgAAAANQEAAGRycy9lMm9Eb2MueG1sUEsF&#10;BgAAAAAGAAYAWQEAAMQ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pBdr>
        <w:bottom w:val="single" w:color="auto" w:sz="8" w:space="1"/>
      </w:pBdr>
      <w:jc w:val="right"/>
      <w:rPr>
        <w:rFonts w:ascii="宋体" w:hAnsi="宋体" w:cs="Arial"/>
        <w:sz w:val="18"/>
        <w:szCs w:val="18"/>
      </w:rPr>
    </w:pPr>
    <w:r>
      <w:rPr>
        <w:rFonts w:ascii="宋体" w:hAnsi="宋体" w:cs="Arial"/>
        <w:sz w:val="18"/>
        <w:szCs w:val="18"/>
      </w:rPr>
      <w:t>上海市房屋建筑工程施工图设计文件技术审查要点</w:t>
    </w:r>
    <w:r>
      <w:rPr>
        <w:rFonts w:hint="eastAsia" w:ascii="宋体" w:hAnsi="宋体" w:cs="Arial"/>
        <w:sz w:val="18"/>
        <w:szCs w:val="18"/>
      </w:rPr>
      <w:t>（建筑、结构篇）3.0版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216B78"/>
    <w:multiLevelType w:val="multilevel"/>
    <w:tmpl w:val="01216B78"/>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02DA0F41"/>
    <w:multiLevelType w:val="multilevel"/>
    <w:tmpl w:val="02DA0F41"/>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049908CC"/>
    <w:multiLevelType w:val="multilevel"/>
    <w:tmpl w:val="049908CC"/>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0D90ECF"/>
    <w:multiLevelType w:val="multilevel"/>
    <w:tmpl w:val="10D90ECF"/>
    <w:lvl w:ilvl="0" w:tentative="0">
      <w:start w:val="1"/>
      <w:numFmt w:val="decimal"/>
      <w:lvlText w:val="%1)"/>
      <w:lvlJc w:val="left"/>
      <w:pPr>
        <w:ind w:left="13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15F1CEC"/>
    <w:multiLevelType w:val="multilevel"/>
    <w:tmpl w:val="115F1CEC"/>
    <w:lvl w:ilvl="0" w:tentative="0">
      <w:start w:val="1"/>
      <w:numFmt w:val="decimal"/>
      <w:lvlText w:val="%1)"/>
      <w:lvlJc w:val="left"/>
      <w:pPr>
        <w:ind w:left="13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5150412"/>
    <w:multiLevelType w:val="multilevel"/>
    <w:tmpl w:val="15150412"/>
    <w:lvl w:ilvl="0" w:tentative="0">
      <w:start w:val="1"/>
      <w:numFmt w:val="decimal"/>
      <w:lvlText w:val="%1)"/>
      <w:lvlJc w:val="left"/>
      <w:pPr>
        <w:ind w:left="900" w:hanging="420"/>
      </w:p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19480410"/>
    <w:multiLevelType w:val="multilevel"/>
    <w:tmpl w:val="19480410"/>
    <w:lvl w:ilvl="0" w:tentative="0">
      <w:start w:val="1"/>
      <w:numFmt w:val="decimal"/>
      <w:lvlText w:val="%1)"/>
      <w:lvlJc w:val="left"/>
      <w:pPr>
        <w:ind w:left="13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297953CD"/>
    <w:multiLevelType w:val="multilevel"/>
    <w:tmpl w:val="297953CD"/>
    <w:lvl w:ilvl="0" w:tentative="0">
      <w:start w:val="1"/>
      <w:numFmt w:val="decimal"/>
      <w:lvlText w:val="%1）"/>
      <w:lvlJc w:val="left"/>
      <w:pPr>
        <w:ind w:left="420" w:hanging="420"/>
      </w:pPr>
      <w:rPr>
        <w:rFonts w:hint="default" w:ascii="Arial" w:hAnsi="Arial" w:eastAsia="宋体" w:cs="Arial"/>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BDF3D5A"/>
    <w:multiLevelType w:val="multilevel"/>
    <w:tmpl w:val="2BDF3D5A"/>
    <w:lvl w:ilvl="0" w:tentative="0">
      <w:start w:val="1"/>
      <w:numFmt w:val="decimal"/>
      <w:lvlText w:val="%1)"/>
      <w:lvlJc w:val="left"/>
      <w:pPr>
        <w:ind w:left="13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BEC06E6"/>
    <w:multiLevelType w:val="multilevel"/>
    <w:tmpl w:val="3BEC06E6"/>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3DC02312"/>
    <w:multiLevelType w:val="multilevel"/>
    <w:tmpl w:val="3DC02312"/>
    <w:lvl w:ilvl="0" w:tentative="0">
      <w:start w:val="1"/>
      <w:numFmt w:val="decimal"/>
      <w:lvlText w:val="%1)"/>
      <w:lvlJc w:val="left"/>
      <w:pPr>
        <w:ind w:left="13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404F58F8"/>
    <w:multiLevelType w:val="multilevel"/>
    <w:tmpl w:val="404F58F8"/>
    <w:lvl w:ilvl="0" w:tentative="0">
      <w:start w:val="1"/>
      <w:numFmt w:val="decimal"/>
      <w:lvlText w:val="%1)"/>
      <w:lvlJc w:val="left"/>
      <w:pPr>
        <w:ind w:left="13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4BD60F2F"/>
    <w:multiLevelType w:val="multilevel"/>
    <w:tmpl w:val="4BD60F2F"/>
    <w:lvl w:ilvl="0" w:tentative="0">
      <w:start w:val="1"/>
      <w:numFmt w:val="decimal"/>
      <w:lvlText w:val="%1"/>
      <w:lvlJc w:val="left"/>
      <w:pPr>
        <w:ind w:left="3544" w:hanging="425"/>
      </w:pPr>
      <w:rPr>
        <w:rFonts w:hint="default" w:ascii="Arial" w:hAnsi="Arial" w:cs="Arial"/>
        <w:b w:val="0"/>
      </w:rPr>
    </w:lvl>
    <w:lvl w:ilvl="1" w:tentative="0">
      <w:start w:val="1"/>
      <w:numFmt w:val="decimal"/>
      <w:pStyle w:val="3"/>
      <w:lvlText w:val="%1.%2"/>
      <w:lvlJc w:val="left"/>
      <w:pPr>
        <w:ind w:left="3828" w:hanging="567"/>
      </w:pPr>
      <w:rPr>
        <w:rFonts w:hint="default" w:ascii="Arial" w:hAnsi="Arial" w:cs="Arial"/>
      </w:r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3">
    <w:nsid w:val="4EB1FB35"/>
    <w:multiLevelType w:val="singleLevel"/>
    <w:tmpl w:val="4EB1FB35"/>
    <w:lvl w:ilvl="0" w:tentative="0">
      <w:start w:val="1"/>
      <w:numFmt w:val="decimal"/>
      <w:lvlText w:val="%1)"/>
      <w:lvlJc w:val="left"/>
      <w:pPr>
        <w:ind w:left="425" w:hanging="425"/>
      </w:pPr>
      <w:rPr>
        <w:rFonts w:hint="default"/>
      </w:rPr>
    </w:lvl>
  </w:abstractNum>
  <w:abstractNum w:abstractNumId="14">
    <w:nsid w:val="4F110D24"/>
    <w:multiLevelType w:val="multilevel"/>
    <w:tmpl w:val="4F110D24"/>
    <w:lvl w:ilvl="0" w:tentative="0">
      <w:start w:val="1"/>
      <w:numFmt w:val="decimal"/>
      <w:lvlText w:val="%1)"/>
      <w:lvlJc w:val="left"/>
      <w:pPr>
        <w:ind w:left="13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5000BBB"/>
    <w:multiLevelType w:val="multilevel"/>
    <w:tmpl w:val="65000BBB"/>
    <w:lvl w:ilvl="0" w:tentative="0">
      <w:start w:val="1"/>
      <w:numFmt w:val="decimal"/>
      <w:lvlText w:val="%1)"/>
      <w:lvlJc w:val="left"/>
      <w:pPr>
        <w:ind w:left="900" w:hanging="420"/>
      </w:pPr>
    </w:lvl>
    <w:lvl w:ilvl="1" w:tentative="0">
      <w:start w:val="1"/>
      <w:numFmt w:val="decimal"/>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65F772F3"/>
    <w:multiLevelType w:val="multilevel"/>
    <w:tmpl w:val="65F772F3"/>
    <w:lvl w:ilvl="0" w:tentative="0">
      <w:start w:val="1"/>
      <w:numFmt w:val="decimal"/>
      <w:lvlText w:val="%1)"/>
      <w:lvlJc w:val="left"/>
      <w:pPr>
        <w:ind w:left="13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6B72633F"/>
    <w:multiLevelType w:val="singleLevel"/>
    <w:tmpl w:val="6B72633F"/>
    <w:lvl w:ilvl="0" w:tentative="0">
      <w:start w:val="2"/>
      <w:numFmt w:val="decimal"/>
      <w:suff w:val="space"/>
      <w:lvlText w:val="%1."/>
      <w:lvlJc w:val="left"/>
    </w:lvl>
  </w:abstractNum>
  <w:abstractNum w:abstractNumId="18">
    <w:nsid w:val="74540E47"/>
    <w:multiLevelType w:val="multilevel"/>
    <w:tmpl w:val="74540E47"/>
    <w:lvl w:ilvl="0" w:tentative="0">
      <w:start w:val="1"/>
      <w:numFmt w:val="chineseCountingThousand"/>
      <w:pStyle w:val="2"/>
      <w:lvlText w:val="%1、"/>
      <w:lvlJc w:val="left"/>
      <w:pPr>
        <w:ind w:left="420" w:hanging="420"/>
      </w:pPr>
      <w:rPr>
        <w:rFonts w:hint="default"/>
        <w:sz w:val="44"/>
        <w:szCs w:val="4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749A0817"/>
    <w:multiLevelType w:val="multilevel"/>
    <w:tmpl w:val="749A0817"/>
    <w:lvl w:ilvl="0" w:tentative="0">
      <w:start w:val="1"/>
      <w:numFmt w:val="decimal"/>
      <w:lvlText w:val="%1"/>
      <w:lvlJc w:val="left"/>
      <w:pPr>
        <w:ind w:left="425" w:hanging="425"/>
      </w:pPr>
      <w:rPr>
        <w:rFonts w:hint="default" w:ascii="Arial" w:hAnsi="Arial" w:cs="Arial"/>
        <w:b w:val="0"/>
      </w:rPr>
    </w:lvl>
    <w:lvl w:ilvl="1" w:tentative="0">
      <w:start w:val="1"/>
      <w:numFmt w:val="decimal"/>
      <w:pStyle w:val="4"/>
      <w:lvlText w:val="%1.%2"/>
      <w:lvlJc w:val="left"/>
      <w:pPr>
        <w:ind w:left="992" w:hanging="567"/>
      </w:pPr>
      <w:rPr>
        <w:rFonts w:hint="default" w:ascii="Arial" w:hAnsi="Arial" w:cs="Arial"/>
      </w:r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20">
    <w:nsid w:val="7E457FBA"/>
    <w:multiLevelType w:val="multilevel"/>
    <w:tmpl w:val="7E457FBA"/>
    <w:lvl w:ilvl="0" w:tentative="0">
      <w:start w:val="1"/>
      <w:numFmt w:val="decimal"/>
      <w:lvlText w:val="%1)"/>
      <w:lvlJc w:val="left"/>
      <w:pPr>
        <w:ind w:left="13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7E485FC9"/>
    <w:multiLevelType w:val="multilevel"/>
    <w:tmpl w:val="7E485FC9"/>
    <w:lvl w:ilvl="0" w:tentative="0">
      <w:start w:val="1"/>
      <w:numFmt w:val="decimal"/>
      <w:suff w:val="space"/>
      <w:lvlText w:val="%1）"/>
      <w:lvlJc w:val="left"/>
      <w:pPr>
        <w:ind w:left="420" w:hanging="420"/>
      </w:pPr>
      <w:rPr>
        <w:rFonts w:hint="default" w:ascii="Arial" w:hAnsi="Arial" w:eastAsia="宋体" w:cs="Arial"/>
        <w:sz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2">
    <w:nsid w:val="7F827627"/>
    <w:multiLevelType w:val="multilevel"/>
    <w:tmpl w:val="7F827627"/>
    <w:lvl w:ilvl="0" w:tentative="0">
      <w:start w:val="1"/>
      <w:numFmt w:val="decimal"/>
      <w:lvlText w:val="%1)"/>
      <w:lvlJc w:val="left"/>
      <w:pPr>
        <w:ind w:left="13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8"/>
  </w:num>
  <w:num w:numId="2">
    <w:abstractNumId w:val="12"/>
  </w:num>
  <w:num w:numId="3">
    <w:abstractNumId w:val="19"/>
  </w:num>
  <w:num w:numId="4">
    <w:abstractNumId w:val="13"/>
  </w:num>
  <w:num w:numId="5">
    <w:abstractNumId w:val="7"/>
  </w:num>
  <w:num w:numId="6">
    <w:abstractNumId w:val="2"/>
  </w:num>
  <w:num w:numId="7">
    <w:abstractNumId w:val="0"/>
  </w:num>
  <w:num w:numId="8">
    <w:abstractNumId w:val="9"/>
  </w:num>
  <w:num w:numId="9">
    <w:abstractNumId w:val="5"/>
  </w:num>
  <w:num w:numId="10">
    <w:abstractNumId w:val="1"/>
  </w:num>
  <w:num w:numId="11">
    <w:abstractNumId w:val="15"/>
  </w:num>
  <w:num w:numId="12">
    <w:abstractNumId w:val="11"/>
  </w:num>
  <w:num w:numId="13">
    <w:abstractNumId w:val="17"/>
  </w:num>
  <w:num w:numId="14">
    <w:abstractNumId w:val="16"/>
  </w:num>
  <w:num w:numId="15">
    <w:abstractNumId w:val="20"/>
  </w:num>
  <w:num w:numId="16">
    <w:abstractNumId w:val="4"/>
  </w:num>
  <w:num w:numId="17">
    <w:abstractNumId w:val="14"/>
  </w:num>
  <w:num w:numId="18">
    <w:abstractNumId w:val="6"/>
  </w:num>
  <w:num w:numId="19">
    <w:abstractNumId w:val="8"/>
  </w:num>
  <w:num w:numId="20">
    <w:abstractNumId w:val="3"/>
  </w:num>
  <w:num w:numId="21">
    <w:abstractNumId w:val="10"/>
  </w:num>
  <w:num w:numId="22">
    <w:abstractNumId w:val="22"/>
  </w:num>
  <w:num w:numId="23">
    <w:abstractNumId w:val="21"/>
  </w:num>
  <w:num w:numId="24">
    <w:abstractNumId w:val="21"/>
    <w:lvlOverride w:ilvl="0">
      <w:lvl w:ilvl="0" w:tentative="1">
        <w:start w:val="1"/>
        <w:numFmt w:val="decimal"/>
        <w:lvlText w:val="%1）"/>
        <w:lvlJc w:val="left"/>
        <w:pPr>
          <w:ind w:left="420" w:hanging="420"/>
        </w:pPr>
        <w:rPr>
          <w:rFonts w:hint="default" w:ascii="Arial" w:hAnsi="Arial" w:eastAsia="宋体" w:cs="Arial"/>
          <w:sz w:val="24"/>
        </w:rPr>
      </w:lvl>
    </w:lvlOverride>
    <w:lvlOverride w:ilvl="1">
      <w:lvl w:ilvl="1" w:tentative="1">
        <w:start w:val="1"/>
        <w:numFmt w:val="lowerLetter"/>
        <w:lvlText w:val="%2)"/>
        <w:lvlJc w:val="left"/>
        <w:pPr>
          <w:ind w:left="840" w:hanging="420"/>
        </w:pPr>
        <w:rPr>
          <w:rFonts w:hint="eastAsia"/>
        </w:rPr>
      </w:lvl>
    </w:lvlOverride>
    <w:lvlOverride w:ilvl="2">
      <w:lvl w:ilvl="2" w:tentative="1">
        <w:start w:val="1"/>
        <w:numFmt w:val="lowerRoman"/>
        <w:lvlText w:val="%3."/>
        <w:lvlJc w:val="right"/>
        <w:pPr>
          <w:ind w:left="1260" w:hanging="420"/>
        </w:pPr>
        <w:rPr>
          <w:rFonts w:hint="eastAsia"/>
        </w:rPr>
      </w:lvl>
    </w:lvlOverride>
    <w:lvlOverride w:ilvl="3">
      <w:lvl w:ilvl="3" w:tentative="1">
        <w:start w:val="1"/>
        <w:numFmt w:val="decimal"/>
        <w:lvlText w:val="%4."/>
        <w:lvlJc w:val="left"/>
        <w:pPr>
          <w:ind w:left="1680" w:hanging="420"/>
        </w:pPr>
        <w:rPr>
          <w:rFonts w:hint="eastAsia"/>
        </w:rPr>
      </w:lvl>
    </w:lvlOverride>
    <w:lvlOverride w:ilvl="4">
      <w:lvl w:ilvl="4" w:tentative="1">
        <w:start w:val="1"/>
        <w:numFmt w:val="lowerLetter"/>
        <w:lvlText w:val="%5)"/>
        <w:lvlJc w:val="left"/>
        <w:pPr>
          <w:ind w:left="2100" w:hanging="420"/>
        </w:pPr>
        <w:rPr>
          <w:rFonts w:hint="eastAsia"/>
        </w:rPr>
      </w:lvl>
    </w:lvlOverride>
    <w:lvlOverride w:ilvl="5">
      <w:lvl w:ilvl="5" w:tentative="1">
        <w:start w:val="1"/>
        <w:numFmt w:val="lowerRoman"/>
        <w:lvlText w:val="%6."/>
        <w:lvlJc w:val="right"/>
        <w:pPr>
          <w:ind w:left="2520" w:hanging="420"/>
        </w:pPr>
        <w:rPr>
          <w:rFonts w:hint="eastAsia"/>
        </w:rPr>
      </w:lvl>
    </w:lvlOverride>
    <w:lvlOverride w:ilvl="6">
      <w:lvl w:ilvl="6" w:tentative="1">
        <w:start w:val="1"/>
        <w:numFmt w:val="decimal"/>
        <w:lvlText w:val="%7."/>
        <w:lvlJc w:val="left"/>
        <w:pPr>
          <w:ind w:left="2940" w:hanging="420"/>
        </w:pPr>
        <w:rPr>
          <w:rFonts w:hint="eastAsia"/>
        </w:rPr>
      </w:lvl>
    </w:lvlOverride>
    <w:lvlOverride w:ilvl="7">
      <w:lvl w:ilvl="7" w:tentative="1">
        <w:start w:val="1"/>
        <w:numFmt w:val="lowerLetter"/>
        <w:lvlText w:val="%8)"/>
        <w:lvlJc w:val="left"/>
        <w:pPr>
          <w:ind w:left="3360" w:hanging="420"/>
        </w:pPr>
        <w:rPr>
          <w:rFonts w:hint="eastAsia"/>
        </w:rPr>
      </w:lvl>
    </w:lvlOverride>
    <w:lvlOverride w:ilvl="8">
      <w:lvl w:ilvl="8" w:tentative="1">
        <w:start w:val="1"/>
        <w:numFmt w:val="lowerRoman"/>
        <w:lvlText w:val="%9."/>
        <w:lvlJc w:val="right"/>
        <w:pPr>
          <w:ind w:left="3780" w:hanging="420"/>
        </w:pPr>
        <w:rPr>
          <w:rFonts w:hint="eastAsia"/>
        </w:rPr>
      </w:lvl>
    </w:lvlOverride>
  </w:num>
  <w:num w:numId="25">
    <w:abstractNumId w:val="21"/>
    <w:lvlOverride w:ilvl="0">
      <w:lvl w:ilvl="0" w:tentative="1">
        <w:start w:val="1"/>
        <w:numFmt w:val="decimal"/>
        <w:suff w:val="space"/>
        <w:lvlText w:val="%1）"/>
        <w:lvlJc w:val="left"/>
        <w:pPr>
          <w:ind w:left="420" w:hanging="420"/>
        </w:pPr>
        <w:rPr>
          <w:rFonts w:hint="default" w:ascii="Arial" w:hAnsi="Arial" w:eastAsia="宋体" w:cs="Arial"/>
          <w:sz w:val="24"/>
        </w:rPr>
      </w:lvl>
    </w:lvlOverride>
    <w:lvlOverride w:ilvl="1">
      <w:lvl w:ilvl="1" w:tentative="1">
        <w:start w:val="1"/>
        <w:numFmt w:val="lowerLetter"/>
        <w:lvlText w:val="%2)"/>
        <w:lvlJc w:val="left"/>
        <w:pPr>
          <w:ind w:left="840" w:hanging="420"/>
        </w:pPr>
        <w:rPr>
          <w:rFonts w:hint="eastAsia"/>
        </w:rPr>
      </w:lvl>
    </w:lvlOverride>
    <w:lvlOverride w:ilvl="2">
      <w:lvl w:ilvl="2" w:tentative="1">
        <w:start w:val="1"/>
        <w:numFmt w:val="lowerRoman"/>
        <w:lvlText w:val="%3."/>
        <w:lvlJc w:val="right"/>
        <w:pPr>
          <w:ind w:left="1260" w:hanging="420"/>
        </w:pPr>
        <w:rPr>
          <w:rFonts w:hint="eastAsia"/>
        </w:rPr>
      </w:lvl>
    </w:lvlOverride>
    <w:lvlOverride w:ilvl="3">
      <w:lvl w:ilvl="3" w:tentative="1">
        <w:start w:val="1"/>
        <w:numFmt w:val="decimal"/>
        <w:lvlText w:val="%4."/>
        <w:lvlJc w:val="left"/>
        <w:pPr>
          <w:ind w:left="1680" w:hanging="420"/>
        </w:pPr>
        <w:rPr>
          <w:rFonts w:hint="eastAsia"/>
        </w:rPr>
      </w:lvl>
    </w:lvlOverride>
    <w:lvlOverride w:ilvl="4">
      <w:lvl w:ilvl="4" w:tentative="1">
        <w:start w:val="1"/>
        <w:numFmt w:val="lowerLetter"/>
        <w:lvlText w:val="%5)"/>
        <w:lvlJc w:val="left"/>
        <w:pPr>
          <w:ind w:left="2100" w:hanging="420"/>
        </w:pPr>
        <w:rPr>
          <w:rFonts w:hint="eastAsia"/>
        </w:rPr>
      </w:lvl>
    </w:lvlOverride>
    <w:lvlOverride w:ilvl="5">
      <w:lvl w:ilvl="5" w:tentative="1">
        <w:start w:val="1"/>
        <w:numFmt w:val="lowerRoman"/>
        <w:lvlText w:val="%6."/>
        <w:lvlJc w:val="right"/>
        <w:pPr>
          <w:ind w:left="2520" w:hanging="420"/>
        </w:pPr>
        <w:rPr>
          <w:rFonts w:hint="eastAsia"/>
        </w:rPr>
      </w:lvl>
    </w:lvlOverride>
    <w:lvlOverride w:ilvl="6">
      <w:lvl w:ilvl="6" w:tentative="1">
        <w:start w:val="1"/>
        <w:numFmt w:val="decimal"/>
        <w:lvlText w:val="%7."/>
        <w:lvlJc w:val="left"/>
        <w:pPr>
          <w:ind w:left="2940" w:hanging="420"/>
        </w:pPr>
        <w:rPr>
          <w:rFonts w:hint="eastAsia"/>
        </w:rPr>
      </w:lvl>
    </w:lvlOverride>
    <w:lvlOverride w:ilvl="7">
      <w:lvl w:ilvl="7" w:tentative="1">
        <w:start w:val="1"/>
        <w:numFmt w:val="lowerLetter"/>
        <w:lvlText w:val="%8)"/>
        <w:lvlJc w:val="left"/>
        <w:pPr>
          <w:ind w:left="3360" w:hanging="420"/>
        </w:pPr>
        <w:rPr>
          <w:rFonts w:hint="eastAsia"/>
        </w:rPr>
      </w:lvl>
    </w:lvlOverride>
    <w:lvlOverride w:ilvl="8">
      <w:lvl w:ilvl="8" w:tentative="1">
        <w:start w:val="1"/>
        <w:numFmt w:val="lowerRoman"/>
        <w:lvlText w:val="%9."/>
        <w:lvlJc w:val="right"/>
        <w:pPr>
          <w:ind w:left="3780" w:hanging="420"/>
        </w:pPr>
        <w:rPr>
          <w:rFonts w:hint="eastAsia"/>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hideSpellingErrors/>
  <w:documentProtection w:enforcement="0"/>
  <w:defaultTabStop w:val="420"/>
  <w:drawingGridHorizontalSpacing w:val="113"/>
  <w:drawingGridVerticalSpacing w:val="282"/>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MzMjM4OGUzMTBlYzFiNzFhZjI5YTJmZDg2OTFjZGMifQ=="/>
  </w:docVars>
  <w:rsids>
    <w:rsidRoot w:val="00154131"/>
    <w:rsid w:val="000133E9"/>
    <w:rsid w:val="00015851"/>
    <w:rsid w:val="000176F0"/>
    <w:rsid w:val="0002190F"/>
    <w:rsid w:val="000247BC"/>
    <w:rsid w:val="00025059"/>
    <w:rsid w:val="000257FD"/>
    <w:rsid w:val="000267C3"/>
    <w:rsid w:val="00030EDB"/>
    <w:rsid w:val="00032E1A"/>
    <w:rsid w:val="00034425"/>
    <w:rsid w:val="0003614B"/>
    <w:rsid w:val="00042EDD"/>
    <w:rsid w:val="00052671"/>
    <w:rsid w:val="00053581"/>
    <w:rsid w:val="00053ADE"/>
    <w:rsid w:val="000551EA"/>
    <w:rsid w:val="0005577A"/>
    <w:rsid w:val="000559C3"/>
    <w:rsid w:val="000619CF"/>
    <w:rsid w:val="000671C1"/>
    <w:rsid w:val="00073928"/>
    <w:rsid w:val="00075B3C"/>
    <w:rsid w:val="00080183"/>
    <w:rsid w:val="00080BB5"/>
    <w:rsid w:val="00082D1D"/>
    <w:rsid w:val="0008393E"/>
    <w:rsid w:val="00084750"/>
    <w:rsid w:val="00084853"/>
    <w:rsid w:val="00085CC1"/>
    <w:rsid w:val="00091F39"/>
    <w:rsid w:val="00095302"/>
    <w:rsid w:val="00096A06"/>
    <w:rsid w:val="00096A5C"/>
    <w:rsid w:val="000A335F"/>
    <w:rsid w:val="000B0C07"/>
    <w:rsid w:val="000B2125"/>
    <w:rsid w:val="000C452C"/>
    <w:rsid w:val="000C772C"/>
    <w:rsid w:val="000D5D06"/>
    <w:rsid w:val="000E15C8"/>
    <w:rsid w:val="000F4646"/>
    <w:rsid w:val="000F7933"/>
    <w:rsid w:val="00101D27"/>
    <w:rsid w:val="00115681"/>
    <w:rsid w:val="00116341"/>
    <w:rsid w:val="001171F0"/>
    <w:rsid w:val="00123CAE"/>
    <w:rsid w:val="00130A61"/>
    <w:rsid w:val="00140923"/>
    <w:rsid w:val="00140D71"/>
    <w:rsid w:val="001433FA"/>
    <w:rsid w:val="00144856"/>
    <w:rsid w:val="00151235"/>
    <w:rsid w:val="00151D11"/>
    <w:rsid w:val="00154131"/>
    <w:rsid w:val="00156E99"/>
    <w:rsid w:val="0016746C"/>
    <w:rsid w:val="001710D2"/>
    <w:rsid w:val="00171BDD"/>
    <w:rsid w:val="0017257A"/>
    <w:rsid w:val="001735EF"/>
    <w:rsid w:val="00174376"/>
    <w:rsid w:val="001751A4"/>
    <w:rsid w:val="00183137"/>
    <w:rsid w:val="001856EC"/>
    <w:rsid w:val="001877A8"/>
    <w:rsid w:val="0019207B"/>
    <w:rsid w:val="0019278B"/>
    <w:rsid w:val="001943D4"/>
    <w:rsid w:val="00195491"/>
    <w:rsid w:val="001968EE"/>
    <w:rsid w:val="001973BC"/>
    <w:rsid w:val="001A738A"/>
    <w:rsid w:val="001B1956"/>
    <w:rsid w:val="001B3509"/>
    <w:rsid w:val="001B52C8"/>
    <w:rsid w:val="001B75F0"/>
    <w:rsid w:val="001C0BB2"/>
    <w:rsid w:val="001C1049"/>
    <w:rsid w:val="001C7F36"/>
    <w:rsid w:val="001D06D4"/>
    <w:rsid w:val="001D59AC"/>
    <w:rsid w:val="001D7143"/>
    <w:rsid w:val="001F17D1"/>
    <w:rsid w:val="001F24E4"/>
    <w:rsid w:val="001F2866"/>
    <w:rsid w:val="001F2A42"/>
    <w:rsid w:val="001F405C"/>
    <w:rsid w:val="001F6936"/>
    <w:rsid w:val="00200B0E"/>
    <w:rsid w:val="00203A13"/>
    <w:rsid w:val="00204745"/>
    <w:rsid w:val="00206570"/>
    <w:rsid w:val="00211F18"/>
    <w:rsid w:val="0021696A"/>
    <w:rsid w:val="00216E1A"/>
    <w:rsid w:val="00217567"/>
    <w:rsid w:val="00222104"/>
    <w:rsid w:val="00222534"/>
    <w:rsid w:val="00243414"/>
    <w:rsid w:val="00245A15"/>
    <w:rsid w:val="00254497"/>
    <w:rsid w:val="002604B0"/>
    <w:rsid w:val="00261A37"/>
    <w:rsid w:val="00263310"/>
    <w:rsid w:val="00264D2F"/>
    <w:rsid w:val="00271AD7"/>
    <w:rsid w:val="00276538"/>
    <w:rsid w:val="00280CDE"/>
    <w:rsid w:val="0028677A"/>
    <w:rsid w:val="0028724F"/>
    <w:rsid w:val="00291346"/>
    <w:rsid w:val="0029715C"/>
    <w:rsid w:val="002A1B2F"/>
    <w:rsid w:val="002A219E"/>
    <w:rsid w:val="002A5F2D"/>
    <w:rsid w:val="002A75F1"/>
    <w:rsid w:val="002B2574"/>
    <w:rsid w:val="002B6539"/>
    <w:rsid w:val="002B6EFF"/>
    <w:rsid w:val="002B7E72"/>
    <w:rsid w:val="002C3EEC"/>
    <w:rsid w:val="002C61B1"/>
    <w:rsid w:val="002C6FA0"/>
    <w:rsid w:val="002D03BB"/>
    <w:rsid w:val="002D139F"/>
    <w:rsid w:val="002D1FE5"/>
    <w:rsid w:val="002E2B81"/>
    <w:rsid w:val="002E517F"/>
    <w:rsid w:val="002E654E"/>
    <w:rsid w:val="002F2640"/>
    <w:rsid w:val="002F41B5"/>
    <w:rsid w:val="002F4394"/>
    <w:rsid w:val="0030006A"/>
    <w:rsid w:val="00301868"/>
    <w:rsid w:val="00304417"/>
    <w:rsid w:val="00304B83"/>
    <w:rsid w:val="00306A02"/>
    <w:rsid w:val="003109DB"/>
    <w:rsid w:val="00310C25"/>
    <w:rsid w:val="003128BF"/>
    <w:rsid w:val="00313A90"/>
    <w:rsid w:val="003267F2"/>
    <w:rsid w:val="0032686E"/>
    <w:rsid w:val="00327475"/>
    <w:rsid w:val="003356B9"/>
    <w:rsid w:val="003362E8"/>
    <w:rsid w:val="00340DBE"/>
    <w:rsid w:val="00344D99"/>
    <w:rsid w:val="003476BA"/>
    <w:rsid w:val="00350F15"/>
    <w:rsid w:val="00354F7E"/>
    <w:rsid w:val="003667BE"/>
    <w:rsid w:val="00366C27"/>
    <w:rsid w:val="0037529F"/>
    <w:rsid w:val="0037563F"/>
    <w:rsid w:val="0037760C"/>
    <w:rsid w:val="0037762C"/>
    <w:rsid w:val="00377816"/>
    <w:rsid w:val="00382C8E"/>
    <w:rsid w:val="003875CD"/>
    <w:rsid w:val="003A1423"/>
    <w:rsid w:val="003A3B7D"/>
    <w:rsid w:val="003A4F16"/>
    <w:rsid w:val="003B03C4"/>
    <w:rsid w:val="003C1B60"/>
    <w:rsid w:val="003C44F8"/>
    <w:rsid w:val="003C7FCF"/>
    <w:rsid w:val="003D3D2F"/>
    <w:rsid w:val="003D7ADA"/>
    <w:rsid w:val="003E0C03"/>
    <w:rsid w:val="003E172F"/>
    <w:rsid w:val="003F3587"/>
    <w:rsid w:val="003F3DB8"/>
    <w:rsid w:val="003F7AFC"/>
    <w:rsid w:val="00400CFA"/>
    <w:rsid w:val="00403FA3"/>
    <w:rsid w:val="00405EE5"/>
    <w:rsid w:val="00407AC2"/>
    <w:rsid w:val="00412DBB"/>
    <w:rsid w:val="00421BF4"/>
    <w:rsid w:val="00425D60"/>
    <w:rsid w:val="00426F43"/>
    <w:rsid w:val="00435048"/>
    <w:rsid w:val="00436E36"/>
    <w:rsid w:val="00442F9D"/>
    <w:rsid w:val="00445A3F"/>
    <w:rsid w:val="004510F8"/>
    <w:rsid w:val="00456B6D"/>
    <w:rsid w:val="0045798F"/>
    <w:rsid w:val="004604EF"/>
    <w:rsid w:val="004639DD"/>
    <w:rsid w:val="00464EB6"/>
    <w:rsid w:val="00473795"/>
    <w:rsid w:val="00476440"/>
    <w:rsid w:val="004764C9"/>
    <w:rsid w:val="00476A29"/>
    <w:rsid w:val="00477671"/>
    <w:rsid w:val="00477EF7"/>
    <w:rsid w:val="00483836"/>
    <w:rsid w:val="00484D2D"/>
    <w:rsid w:val="00493E90"/>
    <w:rsid w:val="004958D4"/>
    <w:rsid w:val="004978D1"/>
    <w:rsid w:val="004A67FB"/>
    <w:rsid w:val="004A6F5A"/>
    <w:rsid w:val="004B110A"/>
    <w:rsid w:val="004B1C44"/>
    <w:rsid w:val="004B2406"/>
    <w:rsid w:val="004B6E01"/>
    <w:rsid w:val="004C150A"/>
    <w:rsid w:val="004C16B0"/>
    <w:rsid w:val="004C7903"/>
    <w:rsid w:val="004D2909"/>
    <w:rsid w:val="004D2F51"/>
    <w:rsid w:val="004E200A"/>
    <w:rsid w:val="004E3C16"/>
    <w:rsid w:val="004E3D03"/>
    <w:rsid w:val="004E7AAC"/>
    <w:rsid w:val="004F5971"/>
    <w:rsid w:val="00502426"/>
    <w:rsid w:val="00503BC6"/>
    <w:rsid w:val="00504864"/>
    <w:rsid w:val="00505D12"/>
    <w:rsid w:val="00510FDC"/>
    <w:rsid w:val="00513BE4"/>
    <w:rsid w:val="005162A1"/>
    <w:rsid w:val="00523964"/>
    <w:rsid w:val="00524D9E"/>
    <w:rsid w:val="00525B57"/>
    <w:rsid w:val="00527A70"/>
    <w:rsid w:val="00535B93"/>
    <w:rsid w:val="00535DD0"/>
    <w:rsid w:val="005421AF"/>
    <w:rsid w:val="005431FE"/>
    <w:rsid w:val="00554B99"/>
    <w:rsid w:val="00562D1F"/>
    <w:rsid w:val="0057193C"/>
    <w:rsid w:val="00575862"/>
    <w:rsid w:val="005761C6"/>
    <w:rsid w:val="005778A1"/>
    <w:rsid w:val="00581EB4"/>
    <w:rsid w:val="00583FFB"/>
    <w:rsid w:val="005843E4"/>
    <w:rsid w:val="00586ADC"/>
    <w:rsid w:val="005A11E3"/>
    <w:rsid w:val="005A122F"/>
    <w:rsid w:val="005A2E03"/>
    <w:rsid w:val="005A3ACB"/>
    <w:rsid w:val="005B3E17"/>
    <w:rsid w:val="005C154C"/>
    <w:rsid w:val="005C2972"/>
    <w:rsid w:val="005C337C"/>
    <w:rsid w:val="005C6F78"/>
    <w:rsid w:val="005C7310"/>
    <w:rsid w:val="005D1A7F"/>
    <w:rsid w:val="005E132F"/>
    <w:rsid w:val="005E70DF"/>
    <w:rsid w:val="005F5E36"/>
    <w:rsid w:val="0060257D"/>
    <w:rsid w:val="00603BBD"/>
    <w:rsid w:val="00613ACA"/>
    <w:rsid w:val="0061581F"/>
    <w:rsid w:val="00616352"/>
    <w:rsid w:val="006210CD"/>
    <w:rsid w:val="0062483B"/>
    <w:rsid w:val="00647287"/>
    <w:rsid w:val="00647698"/>
    <w:rsid w:val="00653BC3"/>
    <w:rsid w:val="00654675"/>
    <w:rsid w:val="00656761"/>
    <w:rsid w:val="0066094B"/>
    <w:rsid w:val="00661AFA"/>
    <w:rsid w:val="006621EC"/>
    <w:rsid w:val="006636F4"/>
    <w:rsid w:val="00663AC0"/>
    <w:rsid w:val="00670A74"/>
    <w:rsid w:val="00674407"/>
    <w:rsid w:val="006758FF"/>
    <w:rsid w:val="00685BA6"/>
    <w:rsid w:val="0068686E"/>
    <w:rsid w:val="006909C3"/>
    <w:rsid w:val="006957C9"/>
    <w:rsid w:val="006A020A"/>
    <w:rsid w:val="006A0411"/>
    <w:rsid w:val="006A3ED7"/>
    <w:rsid w:val="006B1E8D"/>
    <w:rsid w:val="006B5187"/>
    <w:rsid w:val="006B56B2"/>
    <w:rsid w:val="006B67A3"/>
    <w:rsid w:val="006C5490"/>
    <w:rsid w:val="006E2D50"/>
    <w:rsid w:val="006E2F7F"/>
    <w:rsid w:val="006E4478"/>
    <w:rsid w:val="006E4EED"/>
    <w:rsid w:val="006E521B"/>
    <w:rsid w:val="006F224F"/>
    <w:rsid w:val="00705639"/>
    <w:rsid w:val="00705D55"/>
    <w:rsid w:val="007076BC"/>
    <w:rsid w:val="00707934"/>
    <w:rsid w:val="00710D25"/>
    <w:rsid w:val="007125C6"/>
    <w:rsid w:val="0071353B"/>
    <w:rsid w:val="00715A50"/>
    <w:rsid w:val="00715C71"/>
    <w:rsid w:val="007165AE"/>
    <w:rsid w:val="00722FCA"/>
    <w:rsid w:val="00727987"/>
    <w:rsid w:val="00735C91"/>
    <w:rsid w:val="007361EA"/>
    <w:rsid w:val="00737377"/>
    <w:rsid w:val="00740708"/>
    <w:rsid w:val="007447F5"/>
    <w:rsid w:val="0074481F"/>
    <w:rsid w:val="00744AC1"/>
    <w:rsid w:val="007504C9"/>
    <w:rsid w:val="007563FF"/>
    <w:rsid w:val="00756AC9"/>
    <w:rsid w:val="00763298"/>
    <w:rsid w:val="00765BB8"/>
    <w:rsid w:val="007749D7"/>
    <w:rsid w:val="00775CDE"/>
    <w:rsid w:val="00780237"/>
    <w:rsid w:val="00780C49"/>
    <w:rsid w:val="0078443F"/>
    <w:rsid w:val="00785A4A"/>
    <w:rsid w:val="00785C08"/>
    <w:rsid w:val="0079091E"/>
    <w:rsid w:val="0079148D"/>
    <w:rsid w:val="007922F1"/>
    <w:rsid w:val="00792B05"/>
    <w:rsid w:val="00794451"/>
    <w:rsid w:val="007A2990"/>
    <w:rsid w:val="007A32AF"/>
    <w:rsid w:val="007A5376"/>
    <w:rsid w:val="007B0E5D"/>
    <w:rsid w:val="007B2F7E"/>
    <w:rsid w:val="007B3E60"/>
    <w:rsid w:val="007B75DE"/>
    <w:rsid w:val="007D2CA6"/>
    <w:rsid w:val="007F15D7"/>
    <w:rsid w:val="00811083"/>
    <w:rsid w:val="00815605"/>
    <w:rsid w:val="0081704F"/>
    <w:rsid w:val="00826598"/>
    <w:rsid w:val="00830F0F"/>
    <w:rsid w:val="00833965"/>
    <w:rsid w:val="00834188"/>
    <w:rsid w:val="00834D21"/>
    <w:rsid w:val="00847D03"/>
    <w:rsid w:val="008512E4"/>
    <w:rsid w:val="00862D0E"/>
    <w:rsid w:val="00862D9D"/>
    <w:rsid w:val="00865BDA"/>
    <w:rsid w:val="00874832"/>
    <w:rsid w:val="00876889"/>
    <w:rsid w:val="008806EE"/>
    <w:rsid w:val="00881C77"/>
    <w:rsid w:val="00884A30"/>
    <w:rsid w:val="00894BAD"/>
    <w:rsid w:val="0089564E"/>
    <w:rsid w:val="008A292D"/>
    <w:rsid w:val="008A2EF6"/>
    <w:rsid w:val="008A336E"/>
    <w:rsid w:val="008A4021"/>
    <w:rsid w:val="008B0B7B"/>
    <w:rsid w:val="008B43D0"/>
    <w:rsid w:val="008B74FE"/>
    <w:rsid w:val="008C352B"/>
    <w:rsid w:val="008D170E"/>
    <w:rsid w:val="008D3064"/>
    <w:rsid w:val="008E78C7"/>
    <w:rsid w:val="008E7DF0"/>
    <w:rsid w:val="008F126F"/>
    <w:rsid w:val="008F3F71"/>
    <w:rsid w:val="00900A93"/>
    <w:rsid w:val="009033D1"/>
    <w:rsid w:val="009076D5"/>
    <w:rsid w:val="009100A0"/>
    <w:rsid w:val="00910B1A"/>
    <w:rsid w:val="00911E50"/>
    <w:rsid w:val="00925ED4"/>
    <w:rsid w:val="009275FF"/>
    <w:rsid w:val="00937663"/>
    <w:rsid w:val="0094190A"/>
    <w:rsid w:val="00942983"/>
    <w:rsid w:val="00942A8A"/>
    <w:rsid w:val="00961964"/>
    <w:rsid w:val="00963057"/>
    <w:rsid w:val="00964AA5"/>
    <w:rsid w:val="00965DFF"/>
    <w:rsid w:val="00973231"/>
    <w:rsid w:val="00974413"/>
    <w:rsid w:val="009A5547"/>
    <w:rsid w:val="009A5A03"/>
    <w:rsid w:val="009A613D"/>
    <w:rsid w:val="009B0BD8"/>
    <w:rsid w:val="009B135A"/>
    <w:rsid w:val="009B1708"/>
    <w:rsid w:val="009B37EE"/>
    <w:rsid w:val="009B59DB"/>
    <w:rsid w:val="009B5A41"/>
    <w:rsid w:val="009C0634"/>
    <w:rsid w:val="009C1A64"/>
    <w:rsid w:val="009C4A24"/>
    <w:rsid w:val="009D3288"/>
    <w:rsid w:val="009E0BAF"/>
    <w:rsid w:val="009E243D"/>
    <w:rsid w:val="009E6315"/>
    <w:rsid w:val="009F3AF7"/>
    <w:rsid w:val="00A037FB"/>
    <w:rsid w:val="00A062DA"/>
    <w:rsid w:val="00A11F47"/>
    <w:rsid w:val="00A143AA"/>
    <w:rsid w:val="00A21353"/>
    <w:rsid w:val="00A23E42"/>
    <w:rsid w:val="00A26641"/>
    <w:rsid w:val="00A3228A"/>
    <w:rsid w:val="00A34695"/>
    <w:rsid w:val="00A364E0"/>
    <w:rsid w:val="00A37877"/>
    <w:rsid w:val="00A37BF9"/>
    <w:rsid w:val="00A41F14"/>
    <w:rsid w:val="00A46F13"/>
    <w:rsid w:val="00A511E2"/>
    <w:rsid w:val="00A518A1"/>
    <w:rsid w:val="00A545CF"/>
    <w:rsid w:val="00A6058B"/>
    <w:rsid w:val="00A622C2"/>
    <w:rsid w:val="00A72096"/>
    <w:rsid w:val="00A75F25"/>
    <w:rsid w:val="00A84030"/>
    <w:rsid w:val="00A858B1"/>
    <w:rsid w:val="00A93808"/>
    <w:rsid w:val="00A9739D"/>
    <w:rsid w:val="00AA6BBC"/>
    <w:rsid w:val="00AB2232"/>
    <w:rsid w:val="00AB28AA"/>
    <w:rsid w:val="00AB745E"/>
    <w:rsid w:val="00AC25C4"/>
    <w:rsid w:val="00AC378A"/>
    <w:rsid w:val="00AC5C0B"/>
    <w:rsid w:val="00AC7353"/>
    <w:rsid w:val="00AD2F67"/>
    <w:rsid w:val="00AD7419"/>
    <w:rsid w:val="00AE19B6"/>
    <w:rsid w:val="00AE5EE0"/>
    <w:rsid w:val="00AF356D"/>
    <w:rsid w:val="00AF4CFD"/>
    <w:rsid w:val="00B052E7"/>
    <w:rsid w:val="00B05A2A"/>
    <w:rsid w:val="00B15C57"/>
    <w:rsid w:val="00B15E0B"/>
    <w:rsid w:val="00B277E6"/>
    <w:rsid w:val="00B332DF"/>
    <w:rsid w:val="00B40BD1"/>
    <w:rsid w:val="00B4112A"/>
    <w:rsid w:val="00B413F2"/>
    <w:rsid w:val="00B42588"/>
    <w:rsid w:val="00B43BB4"/>
    <w:rsid w:val="00B50B87"/>
    <w:rsid w:val="00B50D7D"/>
    <w:rsid w:val="00B535CC"/>
    <w:rsid w:val="00B54810"/>
    <w:rsid w:val="00B60271"/>
    <w:rsid w:val="00B60CCA"/>
    <w:rsid w:val="00B615E8"/>
    <w:rsid w:val="00B62C86"/>
    <w:rsid w:val="00B67EF6"/>
    <w:rsid w:val="00B75808"/>
    <w:rsid w:val="00B77638"/>
    <w:rsid w:val="00B80104"/>
    <w:rsid w:val="00B85A82"/>
    <w:rsid w:val="00B85E6B"/>
    <w:rsid w:val="00B85F72"/>
    <w:rsid w:val="00B86094"/>
    <w:rsid w:val="00B91524"/>
    <w:rsid w:val="00B9246D"/>
    <w:rsid w:val="00B941E4"/>
    <w:rsid w:val="00B94385"/>
    <w:rsid w:val="00BA11CB"/>
    <w:rsid w:val="00BA53A4"/>
    <w:rsid w:val="00BB5D2B"/>
    <w:rsid w:val="00BB7FA2"/>
    <w:rsid w:val="00BC12F0"/>
    <w:rsid w:val="00BC5DF8"/>
    <w:rsid w:val="00BE5C8A"/>
    <w:rsid w:val="00BF1FD5"/>
    <w:rsid w:val="00BF6B17"/>
    <w:rsid w:val="00BF74E6"/>
    <w:rsid w:val="00BF7DF7"/>
    <w:rsid w:val="00C00B22"/>
    <w:rsid w:val="00C0461D"/>
    <w:rsid w:val="00C1150A"/>
    <w:rsid w:val="00C122C6"/>
    <w:rsid w:val="00C163F0"/>
    <w:rsid w:val="00C16827"/>
    <w:rsid w:val="00C1721E"/>
    <w:rsid w:val="00C20984"/>
    <w:rsid w:val="00C25C4B"/>
    <w:rsid w:val="00C30FC7"/>
    <w:rsid w:val="00C32A74"/>
    <w:rsid w:val="00C3384F"/>
    <w:rsid w:val="00C34B92"/>
    <w:rsid w:val="00C42D29"/>
    <w:rsid w:val="00C46FC3"/>
    <w:rsid w:val="00C50342"/>
    <w:rsid w:val="00C54B06"/>
    <w:rsid w:val="00C623F5"/>
    <w:rsid w:val="00C7682A"/>
    <w:rsid w:val="00C76D60"/>
    <w:rsid w:val="00C8409B"/>
    <w:rsid w:val="00C84BBD"/>
    <w:rsid w:val="00C851A6"/>
    <w:rsid w:val="00C94E4C"/>
    <w:rsid w:val="00C95403"/>
    <w:rsid w:val="00C97366"/>
    <w:rsid w:val="00C97FAD"/>
    <w:rsid w:val="00CA10CA"/>
    <w:rsid w:val="00CA25D8"/>
    <w:rsid w:val="00CA5FB7"/>
    <w:rsid w:val="00CB1E76"/>
    <w:rsid w:val="00CC3612"/>
    <w:rsid w:val="00CC3D17"/>
    <w:rsid w:val="00CC4152"/>
    <w:rsid w:val="00CC49C4"/>
    <w:rsid w:val="00CC4ABD"/>
    <w:rsid w:val="00CC58F0"/>
    <w:rsid w:val="00CC5C7F"/>
    <w:rsid w:val="00CD03DF"/>
    <w:rsid w:val="00CE49D4"/>
    <w:rsid w:val="00CE4B83"/>
    <w:rsid w:val="00CE7B92"/>
    <w:rsid w:val="00CF0E88"/>
    <w:rsid w:val="00CF1521"/>
    <w:rsid w:val="00CF1B1A"/>
    <w:rsid w:val="00CF6613"/>
    <w:rsid w:val="00D02746"/>
    <w:rsid w:val="00D02F53"/>
    <w:rsid w:val="00D033CD"/>
    <w:rsid w:val="00D049EF"/>
    <w:rsid w:val="00D04E03"/>
    <w:rsid w:val="00D056D7"/>
    <w:rsid w:val="00D10A94"/>
    <w:rsid w:val="00D15687"/>
    <w:rsid w:val="00D23858"/>
    <w:rsid w:val="00D24F4A"/>
    <w:rsid w:val="00D3238E"/>
    <w:rsid w:val="00D347EF"/>
    <w:rsid w:val="00D37BB2"/>
    <w:rsid w:val="00D410BC"/>
    <w:rsid w:val="00D439EE"/>
    <w:rsid w:val="00D46701"/>
    <w:rsid w:val="00D5264A"/>
    <w:rsid w:val="00D5360B"/>
    <w:rsid w:val="00D569A1"/>
    <w:rsid w:val="00D6197D"/>
    <w:rsid w:val="00D62501"/>
    <w:rsid w:val="00D64499"/>
    <w:rsid w:val="00D73347"/>
    <w:rsid w:val="00D75E8E"/>
    <w:rsid w:val="00D77C1C"/>
    <w:rsid w:val="00D83934"/>
    <w:rsid w:val="00D87118"/>
    <w:rsid w:val="00D932AF"/>
    <w:rsid w:val="00D960F6"/>
    <w:rsid w:val="00D96DF6"/>
    <w:rsid w:val="00DA0EA4"/>
    <w:rsid w:val="00DA15C9"/>
    <w:rsid w:val="00DA1967"/>
    <w:rsid w:val="00DA2B3E"/>
    <w:rsid w:val="00DA6A96"/>
    <w:rsid w:val="00DA6EC1"/>
    <w:rsid w:val="00DB4D82"/>
    <w:rsid w:val="00DB77EC"/>
    <w:rsid w:val="00DC1022"/>
    <w:rsid w:val="00DC615D"/>
    <w:rsid w:val="00DC620B"/>
    <w:rsid w:val="00DD1A41"/>
    <w:rsid w:val="00DD3F80"/>
    <w:rsid w:val="00DD7DA1"/>
    <w:rsid w:val="00E00186"/>
    <w:rsid w:val="00E01C28"/>
    <w:rsid w:val="00E01E56"/>
    <w:rsid w:val="00E04126"/>
    <w:rsid w:val="00E06019"/>
    <w:rsid w:val="00E06959"/>
    <w:rsid w:val="00E06DFA"/>
    <w:rsid w:val="00E11B75"/>
    <w:rsid w:val="00E236E7"/>
    <w:rsid w:val="00E257FE"/>
    <w:rsid w:val="00E34E4F"/>
    <w:rsid w:val="00E402C8"/>
    <w:rsid w:val="00E440A4"/>
    <w:rsid w:val="00E5149F"/>
    <w:rsid w:val="00E63758"/>
    <w:rsid w:val="00E719B2"/>
    <w:rsid w:val="00E739A3"/>
    <w:rsid w:val="00E77B64"/>
    <w:rsid w:val="00E83C5F"/>
    <w:rsid w:val="00E8743E"/>
    <w:rsid w:val="00E87678"/>
    <w:rsid w:val="00E90B59"/>
    <w:rsid w:val="00EA168B"/>
    <w:rsid w:val="00EA211C"/>
    <w:rsid w:val="00EA4CCB"/>
    <w:rsid w:val="00EA5A9B"/>
    <w:rsid w:val="00EA6EF0"/>
    <w:rsid w:val="00EB2444"/>
    <w:rsid w:val="00EB2D32"/>
    <w:rsid w:val="00EB3173"/>
    <w:rsid w:val="00EB4866"/>
    <w:rsid w:val="00EB7BE8"/>
    <w:rsid w:val="00EC0571"/>
    <w:rsid w:val="00ED0921"/>
    <w:rsid w:val="00ED300E"/>
    <w:rsid w:val="00ED3EF5"/>
    <w:rsid w:val="00ED6F86"/>
    <w:rsid w:val="00EE082B"/>
    <w:rsid w:val="00EE089A"/>
    <w:rsid w:val="00EE092D"/>
    <w:rsid w:val="00EF0A8B"/>
    <w:rsid w:val="00EF4E5C"/>
    <w:rsid w:val="00EF5901"/>
    <w:rsid w:val="00EF66D3"/>
    <w:rsid w:val="00EF7F6B"/>
    <w:rsid w:val="00F013A9"/>
    <w:rsid w:val="00F02246"/>
    <w:rsid w:val="00F040E0"/>
    <w:rsid w:val="00F06931"/>
    <w:rsid w:val="00F06D0D"/>
    <w:rsid w:val="00F079B4"/>
    <w:rsid w:val="00F249EA"/>
    <w:rsid w:val="00F30122"/>
    <w:rsid w:val="00F362EF"/>
    <w:rsid w:val="00F42AD6"/>
    <w:rsid w:val="00F47323"/>
    <w:rsid w:val="00F534C9"/>
    <w:rsid w:val="00F56A35"/>
    <w:rsid w:val="00F611E6"/>
    <w:rsid w:val="00F65C73"/>
    <w:rsid w:val="00F7183B"/>
    <w:rsid w:val="00F820B2"/>
    <w:rsid w:val="00F84812"/>
    <w:rsid w:val="00F87AE0"/>
    <w:rsid w:val="00F9153C"/>
    <w:rsid w:val="00F9684B"/>
    <w:rsid w:val="00F9796F"/>
    <w:rsid w:val="00FA00AD"/>
    <w:rsid w:val="00FB00A0"/>
    <w:rsid w:val="00FB033A"/>
    <w:rsid w:val="00FB3450"/>
    <w:rsid w:val="00FB6C93"/>
    <w:rsid w:val="00FC3184"/>
    <w:rsid w:val="00FC54BE"/>
    <w:rsid w:val="00FC5774"/>
    <w:rsid w:val="00FC5C75"/>
    <w:rsid w:val="00FC6B56"/>
    <w:rsid w:val="00FD5F95"/>
    <w:rsid w:val="00FD7403"/>
    <w:rsid w:val="00FE02A8"/>
    <w:rsid w:val="00FE5B02"/>
    <w:rsid w:val="00FE6E5A"/>
    <w:rsid w:val="00FF2595"/>
    <w:rsid w:val="034F111F"/>
    <w:rsid w:val="050A1088"/>
    <w:rsid w:val="0A6D2ABB"/>
    <w:rsid w:val="0D8F5833"/>
    <w:rsid w:val="0ECA2953"/>
    <w:rsid w:val="0F0635DC"/>
    <w:rsid w:val="11496FC6"/>
    <w:rsid w:val="12353631"/>
    <w:rsid w:val="13810DBB"/>
    <w:rsid w:val="13EF1F09"/>
    <w:rsid w:val="14F17B0E"/>
    <w:rsid w:val="17B90514"/>
    <w:rsid w:val="18C135A1"/>
    <w:rsid w:val="1ABF118C"/>
    <w:rsid w:val="1C1201EA"/>
    <w:rsid w:val="1DFF40D2"/>
    <w:rsid w:val="1E001FE4"/>
    <w:rsid w:val="1E07295D"/>
    <w:rsid w:val="1F49428C"/>
    <w:rsid w:val="1FEF4E1F"/>
    <w:rsid w:val="249C4E0D"/>
    <w:rsid w:val="2657272B"/>
    <w:rsid w:val="274A5446"/>
    <w:rsid w:val="29004034"/>
    <w:rsid w:val="29106213"/>
    <w:rsid w:val="2A60184B"/>
    <w:rsid w:val="2C972AC7"/>
    <w:rsid w:val="2E62715D"/>
    <w:rsid w:val="2F667A8B"/>
    <w:rsid w:val="33E9712D"/>
    <w:rsid w:val="34811790"/>
    <w:rsid w:val="399A1E48"/>
    <w:rsid w:val="3B447821"/>
    <w:rsid w:val="3EF6B6E0"/>
    <w:rsid w:val="40224945"/>
    <w:rsid w:val="408B708D"/>
    <w:rsid w:val="40D22D48"/>
    <w:rsid w:val="44B518E4"/>
    <w:rsid w:val="459104D8"/>
    <w:rsid w:val="46324964"/>
    <w:rsid w:val="46F278C3"/>
    <w:rsid w:val="4A1378B1"/>
    <w:rsid w:val="4AA541A9"/>
    <w:rsid w:val="4B602107"/>
    <w:rsid w:val="4D8E4687"/>
    <w:rsid w:val="4F1F09CE"/>
    <w:rsid w:val="50BF1937"/>
    <w:rsid w:val="53324DCF"/>
    <w:rsid w:val="58A40196"/>
    <w:rsid w:val="5D090243"/>
    <w:rsid w:val="5FB7E176"/>
    <w:rsid w:val="5FC1AF0F"/>
    <w:rsid w:val="5FDFE0B4"/>
    <w:rsid w:val="60593B92"/>
    <w:rsid w:val="64454311"/>
    <w:rsid w:val="653B4893"/>
    <w:rsid w:val="656775DE"/>
    <w:rsid w:val="677F5E8D"/>
    <w:rsid w:val="69192573"/>
    <w:rsid w:val="694253D3"/>
    <w:rsid w:val="69D73764"/>
    <w:rsid w:val="6D58243F"/>
    <w:rsid w:val="6E526BBA"/>
    <w:rsid w:val="6E5378F4"/>
    <w:rsid w:val="6EE56894"/>
    <w:rsid w:val="75735B85"/>
    <w:rsid w:val="75BFB055"/>
    <w:rsid w:val="75F78B7C"/>
    <w:rsid w:val="76037005"/>
    <w:rsid w:val="76664DEF"/>
    <w:rsid w:val="77ACFAF9"/>
    <w:rsid w:val="77BF6A2A"/>
    <w:rsid w:val="77FFB1B9"/>
    <w:rsid w:val="799E680F"/>
    <w:rsid w:val="79FFEB90"/>
    <w:rsid w:val="7BD91CF6"/>
    <w:rsid w:val="7BFBD109"/>
    <w:rsid w:val="7C5F5F53"/>
    <w:rsid w:val="7C63164A"/>
    <w:rsid w:val="7E2E289A"/>
    <w:rsid w:val="7EB07BF5"/>
    <w:rsid w:val="7EBFD199"/>
    <w:rsid w:val="7F293EF7"/>
    <w:rsid w:val="7F7754F3"/>
    <w:rsid w:val="7FD28925"/>
    <w:rsid w:val="7FD60385"/>
    <w:rsid w:val="AFAF5B55"/>
    <w:rsid w:val="BBBFE09D"/>
    <w:rsid w:val="DE134346"/>
    <w:rsid w:val="DFC6BA69"/>
    <w:rsid w:val="E74FC517"/>
    <w:rsid w:val="EFE57C12"/>
    <w:rsid w:val="F3FCB122"/>
    <w:rsid w:val="F7BFEC57"/>
    <w:rsid w:val="F7F31F1E"/>
    <w:rsid w:val="F97F516C"/>
    <w:rsid w:val="F9F32D08"/>
    <w:rsid w:val="F9FD9F1D"/>
    <w:rsid w:val="FB2FC900"/>
    <w:rsid w:val="FBAF6135"/>
    <w:rsid w:val="FBD40221"/>
    <w:rsid w:val="FDBE3F6D"/>
    <w:rsid w:val="FFBE8182"/>
    <w:rsid w:val="FFBF1A51"/>
    <w:rsid w:val="FFBFAD52"/>
    <w:rsid w:val="FFD68F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iPriority="0"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33"/>
    <w:qFormat/>
    <w:uiPriority w:val="0"/>
    <w:pPr>
      <w:keepNext/>
      <w:keepLines/>
      <w:numPr>
        <w:ilvl w:val="0"/>
        <w:numId w:val="1"/>
      </w:numPr>
      <w:spacing w:before="500" w:afterLines="200" w:line="578" w:lineRule="auto"/>
      <w:jc w:val="center"/>
      <w:outlineLvl w:val="0"/>
    </w:pPr>
    <w:rPr>
      <w:rFonts w:ascii="Arial" w:hAnsi="Arial" w:eastAsia="黑体"/>
      <w:bCs/>
      <w:kern w:val="44"/>
      <w:sz w:val="44"/>
      <w:szCs w:val="44"/>
    </w:rPr>
  </w:style>
  <w:style w:type="paragraph" w:styleId="3">
    <w:name w:val="heading 2"/>
    <w:basedOn w:val="1"/>
    <w:next w:val="1"/>
    <w:link w:val="34"/>
    <w:qFormat/>
    <w:uiPriority w:val="9"/>
    <w:pPr>
      <w:keepNext/>
      <w:keepLines/>
      <w:numPr>
        <w:ilvl w:val="1"/>
        <w:numId w:val="2"/>
      </w:numPr>
      <w:spacing w:beforeLines="400" w:after="260" w:line="360" w:lineRule="auto"/>
      <w:jc w:val="center"/>
      <w:outlineLvl w:val="1"/>
    </w:pPr>
    <w:rPr>
      <w:rFonts w:ascii="黑体" w:hAnsi="黑体" w:eastAsia="黑体"/>
      <w:bCs/>
      <w:kern w:val="0"/>
      <w:sz w:val="36"/>
      <w:szCs w:val="32"/>
    </w:rPr>
  </w:style>
  <w:style w:type="paragraph" w:styleId="4">
    <w:name w:val="heading 3"/>
    <w:basedOn w:val="1"/>
    <w:next w:val="1"/>
    <w:link w:val="83"/>
    <w:qFormat/>
    <w:uiPriority w:val="9"/>
    <w:pPr>
      <w:keepNext/>
      <w:keepLines/>
      <w:numPr>
        <w:ilvl w:val="1"/>
        <w:numId w:val="3"/>
      </w:numPr>
      <w:spacing w:before="400" w:after="260" w:line="360" w:lineRule="auto"/>
      <w:jc w:val="center"/>
      <w:outlineLvl w:val="2"/>
    </w:pPr>
    <w:rPr>
      <w:rFonts w:ascii="黑体" w:hAnsi="黑体" w:eastAsia="黑体"/>
      <w:bCs/>
      <w:kern w:val="0"/>
      <w:sz w:val="32"/>
      <w:szCs w:val="3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1050"/>
      <w:jc w:val="left"/>
    </w:pPr>
    <w:rPr>
      <w:rFonts w:cs="Calibri"/>
      <w:sz w:val="20"/>
      <w:szCs w:val="20"/>
    </w:rPr>
  </w:style>
  <w:style w:type="paragraph" w:styleId="6">
    <w:name w:val="Document Map"/>
    <w:basedOn w:val="1"/>
    <w:link w:val="63"/>
    <w:semiHidden/>
    <w:unhideWhenUsed/>
    <w:qFormat/>
    <w:uiPriority w:val="99"/>
    <w:rPr>
      <w:rFonts w:ascii="宋体"/>
      <w:kern w:val="0"/>
      <w:sz w:val="18"/>
      <w:szCs w:val="18"/>
    </w:rPr>
  </w:style>
  <w:style w:type="paragraph" w:styleId="7">
    <w:name w:val="annotation text"/>
    <w:basedOn w:val="1"/>
    <w:link w:val="38"/>
    <w:qFormat/>
    <w:uiPriority w:val="0"/>
    <w:pPr>
      <w:jc w:val="left"/>
    </w:pPr>
    <w:rPr>
      <w:rFonts w:ascii="Times New Roman" w:hAnsi="Times New Roman"/>
      <w:kern w:val="0"/>
      <w:sz w:val="20"/>
      <w:szCs w:val="24"/>
    </w:rPr>
  </w:style>
  <w:style w:type="paragraph" w:styleId="8">
    <w:name w:val="Body Text"/>
    <w:basedOn w:val="1"/>
    <w:link w:val="41"/>
    <w:qFormat/>
    <w:uiPriority w:val="0"/>
    <w:pPr>
      <w:spacing w:after="120"/>
    </w:pPr>
    <w:rPr>
      <w:kern w:val="0"/>
      <w:sz w:val="20"/>
      <w:szCs w:val="24"/>
    </w:rPr>
  </w:style>
  <w:style w:type="paragraph" w:styleId="9">
    <w:name w:val="Block Text"/>
    <w:basedOn w:val="1"/>
    <w:semiHidden/>
    <w:unhideWhenUsed/>
    <w:qFormat/>
    <w:uiPriority w:val="0"/>
    <w:pPr>
      <w:widowControl/>
      <w:spacing w:line="360" w:lineRule="auto"/>
      <w:ind w:left="-240" w:leftChars="-100" w:right="-360" w:rightChars="-150" w:firstLine="480" w:firstLineChars="200"/>
      <w:jc w:val="left"/>
    </w:pPr>
    <w:rPr>
      <w:rFonts w:ascii="宋体" w:hAnsi="宋体" w:eastAsia="方正仿宋简体"/>
      <w:sz w:val="30"/>
      <w:szCs w:val="20"/>
    </w:rPr>
  </w:style>
  <w:style w:type="paragraph" w:styleId="10">
    <w:name w:val="toc 5"/>
    <w:basedOn w:val="1"/>
    <w:next w:val="1"/>
    <w:unhideWhenUsed/>
    <w:qFormat/>
    <w:uiPriority w:val="39"/>
    <w:pPr>
      <w:ind w:left="630"/>
      <w:jc w:val="left"/>
    </w:pPr>
    <w:rPr>
      <w:rFonts w:cs="Calibri"/>
      <w:sz w:val="20"/>
      <w:szCs w:val="20"/>
    </w:rPr>
  </w:style>
  <w:style w:type="paragraph" w:styleId="11">
    <w:name w:val="toc 3"/>
    <w:basedOn w:val="1"/>
    <w:next w:val="1"/>
    <w:unhideWhenUsed/>
    <w:qFormat/>
    <w:uiPriority w:val="39"/>
    <w:pPr>
      <w:tabs>
        <w:tab w:val="left" w:pos="1470"/>
        <w:tab w:val="right" w:leader="dot" w:pos="8296"/>
      </w:tabs>
      <w:ind w:left="840" w:leftChars="400"/>
    </w:pPr>
  </w:style>
  <w:style w:type="paragraph" w:styleId="12">
    <w:name w:val="toc 8"/>
    <w:basedOn w:val="1"/>
    <w:next w:val="1"/>
    <w:unhideWhenUsed/>
    <w:qFormat/>
    <w:uiPriority w:val="39"/>
    <w:pPr>
      <w:ind w:left="1260"/>
      <w:jc w:val="left"/>
    </w:pPr>
    <w:rPr>
      <w:rFonts w:cs="Calibri"/>
      <w:sz w:val="20"/>
      <w:szCs w:val="20"/>
    </w:rPr>
  </w:style>
  <w:style w:type="paragraph" w:styleId="13">
    <w:name w:val="Date"/>
    <w:basedOn w:val="1"/>
    <w:next w:val="1"/>
    <w:semiHidden/>
    <w:unhideWhenUsed/>
    <w:qFormat/>
    <w:uiPriority w:val="99"/>
    <w:pPr>
      <w:widowControl/>
      <w:ind w:left="100" w:leftChars="2500"/>
      <w:jc w:val="left"/>
    </w:pPr>
  </w:style>
  <w:style w:type="paragraph" w:styleId="14">
    <w:name w:val="Balloon Text"/>
    <w:basedOn w:val="1"/>
    <w:link w:val="47"/>
    <w:qFormat/>
    <w:uiPriority w:val="0"/>
    <w:rPr>
      <w:rFonts w:ascii="Times New Roman" w:hAnsi="Times New Roman"/>
      <w:kern w:val="0"/>
      <w:sz w:val="18"/>
      <w:szCs w:val="18"/>
    </w:rPr>
  </w:style>
  <w:style w:type="paragraph" w:styleId="15">
    <w:name w:val="footer"/>
    <w:basedOn w:val="1"/>
    <w:link w:val="32"/>
    <w:unhideWhenUsed/>
    <w:qFormat/>
    <w:uiPriority w:val="99"/>
    <w:pPr>
      <w:tabs>
        <w:tab w:val="center" w:pos="4153"/>
        <w:tab w:val="right" w:pos="8306"/>
      </w:tabs>
      <w:snapToGrid w:val="0"/>
      <w:jc w:val="left"/>
    </w:pPr>
    <w:rPr>
      <w:kern w:val="0"/>
      <w:sz w:val="18"/>
      <w:szCs w:val="18"/>
    </w:rPr>
  </w:style>
  <w:style w:type="paragraph" w:styleId="16">
    <w:name w:val="header"/>
    <w:basedOn w:val="1"/>
    <w:link w:val="31"/>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17">
    <w:name w:val="toc 1"/>
    <w:basedOn w:val="1"/>
    <w:next w:val="1"/>
    <w:unhideWhenUsed/>
    <w:qFormat/>
    <w:uiPriority w:val="39"/>
    <w:pPr>
      <w:tabs>
        <w:tab w:val="left" w:pos="840"/>
        <w:tab w:val="right" w:leader="dot" w:pos="8296"/>
      </w:tabs>
      <w:spacing w:line="360" w:lineRule="auto"/>
    </w:pPr>
    <w:rPr>
      <w:sz w:val="28"/>
      <w:szCs w:val="28"/>
    </w:rPr>
  </w:style>
  <w:style w:type="paragraph" w:styleId="18">
    <w:name w:val="toc 4"/>
    <w:basedOn w:val="1"/>
    <w:next w:val="1"/>
    <w:unhideWhenUsed/>
    <w:qFormat/>
    <w:uiPriority w:val="39"/>
    <w:pPr>
      <w:ind w:left="420"/>
      <w:jc w:val="left"/>
    </w:pPr>
    <w:rPr>
      <w:rFonts w:cs="Calibri"/>
      <w:sz w:val="20"/>
      <w:szCs w:val="20"/>
    </w:rPr>
  </w:style>
  <w:style w:type="paragraph" w:styleId="19">
    <w:name w:val="toc 6"/>
    <w:basedOn w:val="1"/>
    <w:next w:val="1"/>
    <w:unhideWhenUsed/>
    <w:qFormat/>
    <w:uiPriority w:val="39"/>
    <w:pPr>
      <w:ind w:left="840"/>
      <w:jc w:val="left"/>
    </w:pPr>
    <w:rPr>
      <w:rFonts w:cs="Calibri"/>
      <w:sz w:val="20"/>
      <w:szCs w:val="20"/>
    </w:rPr>
  </w:style>
  <w:style w:type="paragraph" w:styleId="20">
    <w:name w:val="toc 2"/>
    <w:basedOn w:val="1"/>
    <w:next w:val="1"/>
    <w:unhideWhenUsed/>
    <w:qFormat/>
    <w:uiPriority w:val="39"/>
    <w:pPr>
      <w:tabs>
        <w:tab w:val="left" w:pos="1050"/>
        <w:tab w:val="right" w:leader="dot" w:pos="8296"/>
      </w:tabs>
      <w:spacing w:line="360" w:lineRule="auto"/>
    </w:pPr>
    <w:rPr>
      <w:rFonts w:ascii="Arial" w:hAnsi="Arial" w:cs="Arial"/>
      <w:sz w:val="24"/>
      <w:szCs w:val="24"/>
    </w:rPr>
  </w:style>
  <w:style w:type="paragraph" w:styleId="21">
    <w:name w:val="toc 9"/>
    <w:basedOn w:val="1"/>
    <w:next w:val="1"/>
    <w:unhideWhenUsed/>
    <w:qFormat/>
    <w:uiPriority w:val="39"/>
    <w:pPr>
      <w:ind w:left="1470"/>
      <w:jc w:val="left"/>
    </w:pPr>
    <w:rPr>
      <w:rFonts w:cs="Calibri"/>
      <w:sz w:val="20"/>
      <w:szCs w:val="20"/>
    </w:rPr>
  </w:style>
  <w:style w:type="paragraph" w:styleId="22">
    <w:name w:val="annotation subject"/>
    <w:basedOn w:val="7"/>
    <w:next w:val="7"/>
    <w:link w:val="79"/>
    <w:semiHidden/>
    <w:unhideWhenUsed/>
    <w:qFormat/>
    <w:uiPriority w:val="99"/>
    <w:rPr>
      <w:rFonts w:ascii="Calibri" w:hAnsi="Calibri"/>
      <w:b/>
      <w:bCs/>
      <w:kern w:val="2"/>
      <w:sz w:val="21"/>
      <w:szCs w:val="22"/>
    </w:r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qFormat/>
    <w:uiPriority w:val="0"/>
    <w:rPr>
      <w:b/>
      <w:bCs/>
    </w:rPr>
  </w:style>
  <w:style w:type="character" w:styleId="27">
    <w:name w:val="page number"/>
    <w:basedOn w:val="25"/>
    <w:qFormat/>
    <w:uiPriority w:val="0"/>
  </w:style>
  <w:style w:type="character" w:styleId="28">
    <w:name w:val="Hyperlink"/>
    <w:unhideWhenUsed/>
    <w:qFormat/>
    <w:uiPriority w:val="99"/>
    <w:rPr>
      <w:color w:val="0000FF"/>
      <w:u w:val="single"/>
    </w:rPr>
  </w:style>
  <w:style w:type="character" w:styleId="29">
    <w:name w:val="annotation reference"/>
    <w:basedOn w:val="25"/>
    <w:semiHidden/>
    <w:unhideWhenUsed/>
    <w:qFormat/>
    <w:uiPriority w:val="99"/>
    <w:rPr>
      <w:sz w:val="21"/>
      <w:szCs w:val="21"/>
    </w:rPr>
  </w:style>
  <w:style w:type="paragraph" w:customStyle="1" w:styleId="30">
    <w:name w:val="彩色列表 - 着色 11"/>
    <w:basedOn w:val="1"/>
    <w:qFormat/>
    <w:uiPriority w:val="34"/>
    <w:pPr>
      <w:ind w:firstLine="420" w:firstLineChars="200"/>
    </w:pPr>
  </w:style>
  <w:style w:type="character" w:customStyle="1" w:styleId="31">
    <w:name w:val="页眉 Char"/>
    <w:link w:val="16"/>
    <w:qFormat/>
    <w:uiPriority w:val="0"/>
    <w:rPr>
      <w:sz w:val="18"/>
      <w:szCs w:val="18"/>
    </w:rPr>
  </w:style>
  <w:style w:type="character" w:customStyle="1" w:styleId="32">
    <w:name w:val="页脚 Char"/>
    <w:link w:val="15"/>
    <w:qFormat/>
    <w:uiPriority w:val="99"/>
    <w:rPr>
      <w:sz w:val="18"/>
      <w:szCs w:val="18"/>
    </w:rPr>
  </w:style>
  <w:style w:type="character" w:customStyle="1" w:styleId="33">
    <w:name w:val="标题 1 Char"/>
    <w:link w:val="2"/>
    <w:qFormat/>
    <w:uiPriority w:val="0"/>
    <w:rPr>
      <w:rFonts w:ascii="Arial" w:hAnsi="Arial" w:eastAsia="黑体" w:cs="Arial"/>
      <w:bCs/>
      <w:kern w:val="44"/>
      <w:sz w:val="44"/>
      <w:szCs w:val="44"/>
    </w:rPr>
  </w:style>
  <w:style w:type="character" w:customStyle="1" w:styleId="34">
    <w:name w:val="标题 2 Char"/>
    <w:link w:val="3"/>
    <w:qFormat/>
    <w:uiPriority w:val="9"/>
    <w:rPr>
      <w:rFonts w:ascii="黑体" w:hAnsi="黑体" w:eastAsia="黑体"/>
      <w:bCs/>
      <w:sz w:val="36"/>
      <w:szCs w:val="32"/>
    </w:rPr>
  </w:style>
  <w:style w:type="character" w:customStyle="1" w:styleId="35">
    <w:name w:val="标题 3 Char"/>
    <w:qFormat/>
    <w:uiPriority w:val="9"/>
    <w:rPr>
      <w:rFonts w:ascii="黑体" w:hAnsi="黑体" w:eastAsia="黑体"/>
      <w:bCs/>
      <w:sz w:val="32"/>
      <w:szCs w:val="32"/>
    </w:rPr>
  </w:style>
  <w:style w:type="character" w:customStyle="1" w:styleId="36">
    <w:name w:val="批注主题 Char"/>
    <w:link w:val="37"/>
    <w:qFormat/>
    <w:uiPriority w:val="0"/>
    <w:rPr>
      <w:b/>
      <w:bCs/>
      <w:szCs w:val="24"/>
    </w:rPr>
  </w:style>
  <w:style w:type="paragraph" w:customStyle="1" w:styleId="37">
    <w:name w:val="批注主题1"/>
    <w:basedOn w:val="7"/>
    <w:next w:val="7"/>
    <w:link w:val="36"/>
    <w:qFormat/>
    <w:uiPriority w:val="0"/>
    <w:rPr>
      <w:rFonts w:ascii="Calibri" w:hAnsi="Calibri"/>
      <w:b/>
      <w:bCs/>
    </w:rPr>
  </w:style>
  <w:style w:type="character" w:customStyle="1" w:styleId="38">
    <w:name w:val="批注文字 Char"/>
    <w:link w:val="7"/>
    <w:qFormat/>
    <w:uiPriority w:val="0"/>
    <w:rPr>
      <w:rFonts w:ascii="Times New Roman" w:hAnsi="Times New Roman" w:eastAsia="宋体" w:cs="Times New Roman"/>
      <w:szCs w:val="24"/>
    </w:rPr>
  </w:style>
  <w:style w:type="character" w:customStyle="1" w:styleId="39">
    <w:name w:val="正文首行缩进 Char"/>
    <w:link w:val="40"/>
    <w:qFormat/>
    <w:uiPriority w:val="0"/>
    <w:rPr>
      <w:szCs w:val="24"/>
    </w:rPr>
  </w:style>
  <w:style w:type="paragraph" w:customStyle="1" w:styleId="40">
    <w:name w:val="正文首行缩进1"/>
    <w:basedOn w:val="8"/>
    <w:link w:val="39"/>
    <w:qFormat/>
    <w:uiPriority w:val="0"/>
    <w:pPr>
      <w:ind w:firstLine="420" w:firstLineChars="100"/>
    </w:pPr>
  </w:style>
  <w:style w:type="character" w:customStyle="1" w:styleId="41">
    <w:name w:val="正文文本 Char"/>
    <w:link w:val="8"/>
    <w:qFormat/>
    <w:uiPriority w:val="0"/>
    <w:rPr>
      <w:szCs w:val="24"/>
    </w:rPr>
  </w:style>
  <w:style w:type="character" w:customStyle="1" w:styleId="42">
    <w:name w:val="正文文本 Char1"/>
    <w:basedOn w:val="25"/>
    <w:semiHidden/>
    <w:qFormat/>
    <w:uiPriority w:val="99"/>
  </w:style>
  <w:style w:type="character" w:customStyle="1" w:styleId="43">
    <w:name w:val="正文文本缩进 Char"/>
    <w:link w:val="44"/>
    <w:qFormat/>
    <w:uiPriority w:val="0"/>
    <w:rPr>
      <w:rFonts w:ascii="宋体" w:hAnsi="宋体"/>
      <w:sz w:val="24"/>
      <w:szCs w:val="24"/>
    </w:rPr>
  </w:style>
  <w:style w:type="paragraph" w:customStyle="1" w:styleId="44">
    <w:name w:val="正文文本缩进1"/>
    <w:basedOn w:val="1"/>
    <w:link w:val="43"/>
    <w:qFormat/>
    <w:uiPriority w:val="0"/>
    <w:pPr>
      <w:spacing w:line="360" w:lineRule="auto"/>
      <w:ind w:left="902" w:firstLine="181"/>
    </w:pPr>
    <w:rPr>
      <w:rFonts w:ascii="宋体" w:hAnsi="宋体"/>
      <w:kern w:val="0"/>
      <w:sz w:val="24"/>
      <w:szCs w:val="24"/>
    </w:rPr>
  </w:style>
  <w:style w:type="character" w:customStyle="1" w:styleId="45">
    <w:name w:val="日期 Char"/>
    <w:link w:val="46"/>
    <w:qFormat/>
    <w:uiPriority w:val="99"/>
    <w:rPr>
      <w:szCs w:val="24"/>
    </w:rPr>
  </w:style>
  <w:style w:type="paragraph" w:customStyle="1" w:styleId="46">
    <w:name w:val="日期1"/>
    <w:basedOn w:val="1"/>
    <w:next w:val="1"/>
    <w:link w:val="45"/>
    <w:qFormat/>
    <w:uiPriority w:val="99"/>
    <w:pPr>
      <w:ind w:left="100" w:leftChars="2500"/>
    </w:pPr>
    <w:rPr>
      <w:kern w:val="0"/>
      <w:sz w:val="20"/>
      <w:szCs w:val="24"/>
    </w:rPr>
  </w:style>
  <w:style w:type="character" w:customStyle="1" w:styleId="47">
    <w:name w:val="批注框文本 Char"/>
    <w:link w:val="14"/>
    <w:qFormat/>
    <w:uiPriority w:val="0"/>
    <w:rPr>
      <w:rFonts w:ascii="Times New Roman" w:hAnsi="Times New Roman" w:eastAsia="宋体" w:cs="Times New Roman"/>
      <w:sz w:val="18"/>
      <w:szCs w:val="18"/>
    </w:rPr>
  </w:style>
  <w:style w:type="character" w:customStyle="1" w:styleId="48">
    <w:name w:val="正文首行缩进 2 Char"/>
    <w:link w:val="49"/>
    <w:qFormat/>
    <w:uiPriority w:val="0"/>
    <w:rPr>
      <w:rFonts w:ascii="宋体" w:hAnsi="宋体"/>
      <w:sz w:val="24"/>
      <w:szCs w:val="24"/>
    </w:rPr>
  </w:style>
  <w:style w:type="paragraph" w:customStyle="1" w:styleId="49">
    <w:name w:val="正文首行缩进 21"/>
    <w:basedOn w:val="44"/>
    <w:link w:val="48"/>
    <w:qFormat/>
    <w:uiPriority w:val="0"/>
    <w:pPr>
      <w:spacing w:after="120" w:line="240" w:lineRule="auto"/>
      <w:ind w:left="420" w:leftChars="200" w:firstLine="420" w:firstLineChars="200"/>
    </w:pPr>
  </w:style>
  <w:style w:type="paragraph" w:customStyle="1" w:styleId="50">
    <w:name w:val="普通(网站)1"/>
    <w:basedOn w:val="1"/>
    <w:qFormat/>
    <w:uiPriority w:val="0"/>
    <w:pPr>
      <w:widowControl/>
      <w:spacing w:before="100" w:beforeAutospacing="1" w:after="100" w:afterAutospacing="1" w:line="283" w:lineRule="atLeast"/>
      <w:jc w:val="left"/>
    </w:pPr>
    <w:rPr>
      <w:rFonts w:ascii="宋体" w:hAnsi="宋体" w:cs="宋体"/>
      <w:kern w:val="0"/>
      <w:sz w:val="22"/>
    </w:rPr>
  </w:style>
  <w:style w:type="paragraph" w:customStyle="1" w:styleId="51">
    <w:name w:val="正文文本缩进 21"/>
    <w:basedOn w:val="1"/>
    <w:qFormat/>
    <w:uiPriority w:val="0"/>
    <w:pPr>
      <w:spacing w:after="120" w:line="480" w:lineRule="auto"/>
      <w:ind w:left="420" w:leftChars="200"/>
    </w:pPr>
    <w:rPr>
      <w:rFonts w:ascii="Times New Roman" w:hAnsi="Times New Roman"/>
      <w:szCs w:val="24"/>
    </w:rPr>
  </w:style>
  <w:style w:type="paragraph" w:customStyle="1" w:styleId="52">
    <w:name w:val="MTDisplayEquation"/>
    <w:basedOn w:val="1"/>
    <w:qFormat/>
    <w:uiPriority w:val="0"/>
    <w:pPr>
      <w:ind w:firstLine="480" w:firstLineChars="200"/>
    </w:pPr>
    <w:rPr>
      <w:rFonts w:ascii="宋体" w:hAnsi="宋体"/>
      <w:sz w:val="24"/>
      <w:szCs w:val="24"/>
    </w:rPr>
  </w:style>
  <w:style w:type="paragraph" w:customStyle="1" w:styleId="53">
    <w:name w:val="列出段落1"/>
    <w:basedOn w:val="1"/>
    <w:qFormat/>
    <w:uiPriority w:val="0"/>
    <w:pPr>
      <w:ind w:firstLine="420" w:firstLineChars="200"/>
    </w:pPr>
    <w:rPr>
      <w:rFonts w:ascii="Times New Roman" w:hAnsi="Times New Roman"/>
      <w:szCs w:val="24"/>
    </w:rPr>
  </w:style>
  <w:style w:type="paragraph" w:customStyle="1" w:styleId="54">
    <w:name w:val="列表1"/>
    <w:basedOn w:val="1"/>
    <w:qFormat/>
    <w:uiPriority w:val="0"/>
    <w:pPr>
      <w:ind w:left="200" w:hanging="200" w:hangingChars="200"/>
      <w:contextualSpacing/>
    </w:pPr>
    <w:rPr>
      <w:rFonts w:ascii="Times New Roman" w:hAnsi="Times New Roman"/>
      <w:szCs w:val="24"/>
    </w:rPr>
  </w:style>
  <w:style w:type="paragraph" w:customStyle="1" w:styleId="55">
    <w:name w:val="列表 21"/>
    <w:basedOn w:val="1"/>
    <w:qFormat/>
    <w:uiPriority w:val="0"/>
    <w:pPr>
      <w:ind w:left="100" w:leftChars="200" w:hanging="200" w:hangingChars="200"/>
      <w:contextualSpacing/>
    </w:pPr>
    <w:rPr>
      <w:rFonts w:ascii="Times New Roman" w:hAnsi="Times New Roman"/>
      <w:szCs w:val="24"/>
    </w:rPr>
  </w:style>
  <w:style w:type="paragraph" w:customStyle="1" w:styleId="56">
    <w:name w:val="列表 31"/>
    <w:basedOn w:val="1"/>
    <w:qFormat/>
    <w:uiPriority w:val="0"/>
    <w:pPr>
      <w:ind w:left="100" w:leftChars="400" w:hanging="200" w:hangingChars="200"/>
      <w:contextualSpacing/>
    </w:pPr>
    <w:rPr>
      <w:rFonts w:ascii="Times New Roman" w:hAnsi="Times New Roman"/>
      <w:szCs w:val="24"/>
    </w:rPr>
  </w:style>
  <w:style w:type="paragraph" w:customStyle="1" w:styleId="57">
    <w:name w:val="正文缩进1"/>
    <w:basedOn w:val="1"/>
    <w:qFormat/>
    <w:uiPriority w:val="0"/>
    <w:pPr>
      <w:ind w:firstLine="420" w:firstLineChars="200"/>
    </w:pPr>
    <w:rPr>
      <w:rFonts w:ascii="Times New Roman" w:hAnsi="Times New Roman"/>
      <w:szCs w:val="24"/>
    </w:rPr>
  </w:style>
  <w:style w:type="paragraph" w:customStyle="1" w:styleId="58">
    <w:name w:val="news"/>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59">
    <w:name w:val="页码1"/>
    <w:basedOn w:val="25"/>
    <w:qFormat/>
    <w:uiPriority w:val="0"/>
  </w:style>
  <w:style w:type="character" w:customStyle="1" w:styleId="60">
    <w:name w:val="MTEquationSection"/>
    <w:qFormat/>
    <w:uiPriority w:val="0"/>
    <w:rPr>
      <w:vanish/>
      <w:color w:val="FF0000"/>
      <w:sz w:val="24"/>
    </w:rPr>
  </w:style>
  <w:style w:type="character" w:customStyle="1" w:styleId="61">
    <w:name w:val="批注引用1"/>
    <w:qFormat/>
    <w:uiPriority w:val="0"/>
    <w:rPr>
      <w:sz w:val="21"/>
      <w:szCs w:val="21"/>
    </w:rPr>
  </w:style>
  <w:style w:type="character" w:styleId="62">
    <w:name w:val="Placeholder Text"/>
    <w:semiHidden/>
    <w:qFormat/>
    <w:uiPriority w:val="99"/>
    <w:rPr>
      <w:color w:val="808080"/>
    </w:rPr>
  </w:style>
  <w:style w:type="character" w:customStyle="1" w:styleId="63">
    <w:name w:val="文档结构图 Char"/>
    <w:link w:val="6"/>
    <w:semiHidden/>
    <w:qFormat/>
    <w:uiPriority w:val="99"/>
    <w:rPr>
      <w:rFonts w:ascii="宋体" w:eastAsia="宋体"/>
      <w:sz w:val="18"/>
      <w:szCs w:val="18"/>
    </w:rPr>
  </w:style>
  <w:style w:type="paragraph" w:styleId="64">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65">
    <w:name w:val="日期 Char1"/>
    <w:basedOn w:val="25"/>
    <w:semiHidden/>
    <w:qFormat/>
    <w:uiPriority w:val="99"/>
  </w:style>
  <w:style w:type="paragraph" w:customStyle="1" w:styleId="66">
    <w:name w:val="p1"/>
    <w:basedOn w:val="1"/>
    <w:qFormat/>
    <w:uiPriority w:val="0"/>
    <w:pPr>
      <w:widowControl/>
      <w:jc w:val="left"/>
    </w:pPr>
    <w:rPr>
      <w:rFonts w:ascii="Helvetica" w:hAnsi="Helvetica"/>
      <w:color w:val="454545"/>
      <w:kern w:val="0"/>
      <w:sz w:val="13"/>
      <w:szCs w:val="13"/>
    </w:rPr>
  </w:style>
  <w:style w:type="paragraph" w:customStyle="1" w:styleId="67">
    <w:name w:val="p2"/>
    <w:basedOn w:val="1"/>
    <w:qFormat/>
    <w:uiPriority w:val="0"/>
    <w:pPr>
      <w:widowControl/>
      <w:jc w:val="left"/>
    </w:pPr>
    <w:rPr>
      <w:rFonts w:ascii="Helvetica" w:hAnsi="Helvetica"/>
      <w:color w:val="454545"/>
      <w:kern w:val="0"/>
      <w:sz w:val="12"/>
      <w:szCs w:val="12"/>
    </w:rPr>
  </w:style>
  <w:style w:type="paragraph" w:customStyle="1" w:styleId="68">
    <w:name w:val="p3"/>
    <w:basedOn w:val="1"/>
    <w:qFormat/>
    <w:uiPriority w:val="0"/>
    <w:pPr>
      <w:widowControl/>
      <w:jc w:val="left"/>
    </w:pPr>
    <w:rPr>
      <w:rFonts w:ascii="Times" w:hAnsi="Times"/>
      <w:color w:val="2B2B2B"/>
      <w:kern w:val="0"/>
      <w:sz w:val="15"/>
      <w:szCs w:val="15"/>
    </w:rPr>
  </w:style>
  <w:style w:type="paragraph" w:customStyle="1" w:styleId="69">
    <w:name w:val="p4"/>
    <w:basedOn w:val="1"/>
    <w:qFormat/>
    <w:uiPriority w:val="0"/>
    <w:pPr>
      <w:widowControl/>
      <w:jc w:val="left"/>
    </w:pPr>
    <w:rPr>
      <w:rFonts w:ascii="Helvetica" w:hAnsi="Helvetica"/>
      <w:color w:val="2B2B2B"/>
      <w:kern w:val="0"/>
      <w:sz w:val="12"/>
      <w:szCs w:val="12"/>
    </w:rPr>
  </w:style>
  <w:style w:type="paragraph" w:customStyle="1" w:styleId="70">
    <w:name w:val="p5"/>
    <w:basedOn w:val="1"/>
    <w:qFormat/>
    <w:uiPriority w:val="0"/>
    <w:pPr>
      <w:widowControl/>
      <w:jc w:val="left"/>
    </w:pPr>
    <w:rPr>
      <w:rFonts w:ascii="Helvetica" w:hAnsi="Helvetica"/>
      <w:color w:val="D5D5D5"/>
      <w:kern w:val="0"/>
      <w:sz w:val="6"/>
      <w:szCs w:val="6"/>
    </w:rPr>
  </w:style>
  <w:style w:type="character" w:customStyle="1" w:styleId="71">
    <w:name w:val="s1"/>
    <w:qFormat/>
    <w:uiPriority w:val="0"/>
    <w:rPr>
      <w:rFonts w:hint="default" w:ascii="Times" w:hAnsi="Times"/>
      <w:color w:val="2B2B2B"/>
      <w:sz w:val="15"/>
      <w:szCs w:val="15"/>
    </w:rPr>
  </w:style>
  <w:style w:type="character" w:customStyle="1" w:styleId="72">
    <w:name w:val="s2"/>
    <w:qFormat/>
    <w:uiPriority w:val="0"/>
    <w:rPr>
      <w:rFonts w:hint="default" w:ascii="Helvetica" w:hAnsi="Helvetica"/>
      <w:color w:val="2B2B2B"/>
      <w:sz w:val="14"/>
      <w:szCs w:val="14"/>
    </w:rPr>
  </w:style>
  <w:style w:type="character" w:customStyle="1" w:styleId="73">
    <w:name w:val="s3"/>
    <w:qFormat/>
    <w:uiPriority w:val="0"/>
    <w:rPr>
      <w:rFonts w:hint="default" w:ascii="Times" w:hAnsi="Times"/>
      <w:color w:val="2B2B2B"/>
      <w:sz w:val="16"/>
      <w:szCs w:val="16"/>
    </w:rPr>
  </w:style>
  <w:style w:type="character" w:customStyle="1" w:styleId="74">
    <w:name w:val="s4"/>
    <w:qFormat/>
    <w:uiPriority w:val="0"/>
    <w:rPr>
      <w:color w:val="636363"/>
    </w:rPr>
  </w:style>
  <w:style w:type="character" w:customStyle="1" w:styleId="75">
    <w:name w:val="apple-converted-space"/>
    <w:qFormat/>
    <w:uiPriority w:val="0"/>
  </w:style>
  <w:style w:type="character" w:customStyle="1" w:styleId="76">
    <w:name w:val="s5"/>
    <w:qFormat/>
    <w:uiPriority w:val="0"/>
    <w:rPr>
      <w:color w:val="AAAAAA"/>
    </w:rPr>
  </w:style>
  <w:style w:type="character" w:customStyle="1" w:styleId="77">
    <w:name w:val="s6"/>
    <w:qFormat/>
    <w:uiPriority w:val="0"/>
    <w:rPr>
      <w:rFonts w:hint="default" w:ascii="Helvetica" w:hAnsi="Helvetica"/>
      <w:sz w:val="9"/>
      <w:szCs w:val="9"/>
    </w:rPr>
  </w:style>
  <w:style w:type="paragraph" w:styleId="78">
    <w:name w:val="List Paragraph"/>
    <w:basedOn w:val="1"/>
    <w:qFormat/>
    <w:uiPriority w:val="34"/>
    <w:pPr>
      <w:ind w:firstLine="420" w:firstLineChars="200"/>
    </w:pPr>
  </w:style>
  <w:style w:type="character" w:customStyle="1" w:styleId="79">
    <w:name w:val="批注主题 Char1"/>
    <w:basedOn w:val="38"/>
    <w:link w:val="22"/>
    <w:semiHidden/>
    <w:qFormat/>
    <w:uiPriority w:val="99"/>
    <w:rPr>
      <w:rFonts w:ascii="Times New Roman" w:hAnsi="Times New Roman" w:eastAsia="宋体" w:cs="Times New Roman"/>
      <w:b/>
      <w:bCs/>
      <w:kern w:val="2"/>
      <w:sz w:val="21"/>
      <w:szCs w:val="22"/>
    </w:rPr>
  </w:style>
  <w:style w:type="paragraph" w:customStyle="1" w:styleId="80">
    <w:name w:val="条"/>
    <w:basedOn w:val="1"/>
    <w:link w:val="82"/>
    <w:qFormat/>
    <w:uiPriority w:val="0"/>
    <w:pPr>
      <w:spacing w:line="360" w:lineRule="auto"/>
      <w:jc w:val="left"/>
    </w:pPr>
    <w:rPr>
      <w:rFonts w:asciiTheme="minorHAnsi" w:hAnsiTheme="minorHAnsi" w:cstheme="minorBidi"/>
      <w:sz w:val="24"/>
    </w:rPr>
  </w:style>
  <w:style w:type="paragraph" w:customStyle="1" w:styleId="81">
    <w:name w:val="款"/>
    <w:basedOn w:val="1"/>
    <w:qFormat/>
    <w:uiPriority w:val="0"/>
    <w:pPr>
      <w:spacing w:line="360" w:lineRule="auto"/>
      <w:ind w:firstLine="200" w:firstLineChars="200"/>
      <w:jc w:val="left"/>
    </w:pPr>
    <w:rPr>
      <w:rFonts w:asciiTheme="minorHAnsi" w:hAnsiTheme="minorHAnsi" w:cstheme="minorBidi"/>
      <w:sz w:val="24"/>
    </w:rPr>
  </w:style>
  <w:style w:type="character" w:customStyle="1" w:styleId="82">
    <w:name w:val="条 Char"/>
    <w:basedOn w:val="83"/>
    <w:link w:val="80"/>
    <w:qFormat/>
    <w:uiPriority w:val="0"/>
    <w:rPr>
      <w:rFonts w:eastAsia="黑体" w:asciiTheme="minorHAnsi" w:hAnsiTheme="minorHAnsi" w:cstheme="minorBidi"/>
      <w:kern w:val="2"/>
      <w:sz w:val="24"/>
      <w:szCs w:val="32"/>
    </w:rPr>
  </w:style>
  <w:style w:type="character" w:customStyle="1" w:styleId="83">
    <w:name w:val="标题 3 Char1"/>
    <w:basedOn w:val="25"/>
    <w:link w:val="4"/>
    <w:qFormat/>
    <w:uiPriority w:val="9"/>
    <w:rPr>
      <w:rFonts w:eastAsia="黑体" w:asciiTheme="minorHAnsi" w:hAnsiTheme="minorHAnsi" w:cstheme="minorBidi"/>
      <w:b/>
      <w:bCs/>
      <w:kern w:val="2"/>
      <w:sz w:val="28"/>
      <w:szCs w:val="32"/>
    </w:rPr>
  </w:style>
  <w:style w:type="paragraph" w:customStyle="1" w:styleId="84">
    <w:name w:val="修订1"/>
    <w:hidden/>
    <w:semiHidden/>
    <w:qFormat/>
    <w:uiPriority w:val="99"/>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7" Type="http://schemas.openxmlformats.org/officeDocument/2006/relationships/fontTable" Target="fontTable.xml"/><Relationship Id="rId76" Type="http://schemas.openxmlformats.org/officeDocument/2006/relationships/numbering" Target="numbering.xml"/><Relationship Id="rId75" Type="http://schemas.openxmlformats.org/officeDocument/2006/relationships/customXml" Target="../customXml/item1.xml"/><Relationship Id="rId74" Type="http://schemas.openxmlformats.org/officeDocument/2006/relationships/image" Target="media/image63.jpeg"/><Relationship Id="rId73" Type="http://schemas.openxmlformats.org/officeDocument/2006/relationships/image" Target="media/image62.png"/><Relationship Id="rId72" Type="http://schemas.openxmlformats.org/officeDocument/2006/relationships/image" Target="media/image61.png"/><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footer" Target="footer4.xml"/><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footer" Target="footer3.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footer" Target="footer2.xml"/><Relationship Id="rId49" Type="http://schemas.openxmlformats.org/officeDocument/2006/relationships/image" Target="media/image38.jpeg"/><Relationship Id="rId48" Type="http://schemas.openxmlformats.org/officeDocument/2006/relationships/image" Target="media/image37.png"/><Relationship Id="rId47" Type="http://schemas.openxmlformats.org/officeDocument/2006/relationships/image" Target="media/image36.jpe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jpe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footer" Target="footer1.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jpe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pn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68</Pages>
  <Words>30504</Words>
  <Characters>35733</Characters>
  <Lines>274</Lines>
  <Paragraphs>77</Paragraphs>
  <TotalTime>5</TotalTime>
  <ScaleCrop>false</ScaleCrop>
  <LinksUpToDate>false</LinksUpToDate>
  <CharactersWithSpaces>37025</CharactersWithSpaces>
  <Application>WPS Office_11.8.2.10195_F1E327BC-269C-435d-A152-05C5408002CA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2022-12-08T10:09:00Z</dcterms:created>
  <dc:creator>luck</dc:creator>
  <cp:lastModifiedBy>兰守奇:校对</cp:lastModifiedBy>
  <cp:lastPrinted>2023-01-11T11:10:00Z</cp:lastPrinted>
  <dcterms:modified xsi:type="dcterms:W3CDTF">2023-01-09T16:17:28Z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2052-11.8.2.10195</vt:lpwstr>
  </property>
  <property fmtid="{D5CDD505-2E9C-101B-9397-08002B2CF9AE}" pid="3" name="ICV">
    <vt:lpwstr>44BF860062AF409BBB7F844FDAA01636</vt:lpwstr>
  </property>
</Properties>
</file>